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9"/>
        <w:spacing w:before="0" w:after="0"/>
        <w:rPr>
          <w:rFonts w:ascii="Times New Roman" w:hAnsi="Times New Roman"/>
          <w:sz w:val="32"/>
          <w:szCs w:val="32"/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0" b="0"/>
                <wp:wrapTopAndBottom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Проект</w:t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0;o:allowoverlap:true;o:allowincell:true;mso-position-horizontal-relative:page;margin-left:473.25pt;mso-position-horizontal:absolute;mso-position-vertical-relative:page;margin-top:36.55pt;mso-position-vertical:absolute;width:76.95pt;height:24.45pt;mso-wrap-distance-left:9.00pt;mso-wrap-distance-top:0.00pt;mso-wrap-distance-right:9.00pt;mso-wrap-distance-bottom:0.00pt;visibility:visible;" fillcolor="#FFFFFF" stroked="f">
                <w10:wrap type="topAndBottom"/>
                <v:textbox inset="0,0,0,0">
                  <w:txbxContent>
                    <w:p>
                      <w:pPr>
                        <w:jc w:val="right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Проект</w:t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  <w:szCs w:val="32"/>
          <w:lang w:val="ru-RU"/>
        </w:rPr>
        <w:t xml:space="preserve">ПРАВИТЕЛЬСТВО ЕВРЕЙСКОЙ АВТОНОМНОЙ ОБЛАСТИ</w:t>
      </w:r>
      <w:r>
        <w:rPr>
          <w:rFonts w:ascii="Times New Roman" w:hAnsi="Times New Roman"/>
          <w:sz w:val="32"/>
          <w:szCs w:val="32"/>
          <w:lang w:val="ru-RU"/>
        </w:rPr>
      </w:r>
      <w:r>
        <w:rPr>
          <w:rFonts w:ascii="Times New Roman" w:hAnsi="Times New Roman"/>
          <w:sz w:val="32"/>
          <w:szCs w:val="32"/>
          <w:lang w:val="ru-RU"/>
        </w:rPr>
      </w:r>
    </w:p>
    <w:p>
      <w:pPr>
        <w:jc w:val="center"/>
        <w:rPr>
          <w:spacing w:val="28"/>
        </w:rPr>
      </w:pPr>
      <w:r>
        <w:rPr>
          <w:spacing w:val="28"/>
        </w:rPr>
      </w:r>
      <w:r>
        <w:rPr>
          <w:spacing w:val="28"/>
        </w:rPr>
      </w:r>
      <w:r>
        <w:rPr>
          <w:spacing w:val="28"/>
        </w:rPr>
      </w:r>
    </w:p>
    <w:p>
      <w:pPr>
        <w:jc w:val="center"/>
        <w:rPr>
          <w:b/>
          <w:spacing w:val="40"/>
          <w:sz w:val="36"/>
          <w:szCs w:val="36"/>
        </w:rPr>
      </w:pPr>
      <w:r>
        <w:rPr>
          <w:b/>
          <w:spacing w:val="40"/>
          <w:sz w:val="36"/>
          <w:szCs w:val="36"/>
        </w:rPr>
        <w:t xml:space="preserve">ПОСТАНОВЛЕНИЕ</w:t>
      </w:r>
      <w:r>
        <w:rPr>
          <w:b/>
          <w:spacing w:val="40"/>
          <w:sz w:val="36"/>
          <w:szCs w:val="36"/>
        </w:rPr>
      </w:r>
      <w:r>
        <w:rPr>
          <w:b/>
          <w:spacing w:val="40"/>
          <w:sz w:val="36"/>
          <w:szCs w:val="36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spacing w:before="20"/>
        <w:tabs>
          <w:tab w:val="left" w:pos="13467" w:leader="none"/>
        </w:tabs>
        <w:rPr>
          <w:sz w:val="20"/>
        </w:rPr>
      </w:pPr>
      <w:r>
        <w:rPr>
          <w:b/>
          <w:sz w:val="36"/>
          <w:szCs w:val="36"/>
        </w:rPr>
        <w:t xml:space="preserve">         </w:t>
      </w:r>
      <w:r>
        <w:rPr>
          <w:sz w:val="20"/>
        </w:rPr>
        <w:t xml:space="preserve">_____________________                                                                                              № _________</w:t>
      </w:r>
      <w:r>
        <w:rPr>
          <w:sz w:val="20"/>
        </w:rPr>
      </w:r>
      <w:r>
        <w:rPr>
          <w:sz w:val="20"/>
        </w:rPr>
      </w:r>
    </w:p>
    <w:p>
      <w:pPr>
        <w:jc w:val="center"/>
        <w:spacing w:before="200"/>
        <w:rPr>
          <w:sz w:val="20"/>
        </w:rPr>
      </w:pPr>
      <w:r>
        <w:rPr>
          <w:sz w:val="20"/>
        </w:rPr>
        <w:t xml:space="preserve">г. Биробиджан</w:t>
      </w:r>
      <w:r>
        <w:rPr>
          <w:sz w:val="20"/>
        </w:rPr>
      </w:r>
      <w:r>
        <w:rPr>
          <w:sz w:val="20"/>
        </w:rPr>
      </w:r>
    </w:p>
    <w:p>
      <w:r>
        <w:rPr>
          <w:sz w:val="32"/>
          <w:szCs w:val="32"/>
        </w:rPr>
        <w:t xml:space="preserve">⌐                                          ¬</w:t>
      </w:r>
      <w:r/>
    </w:p>
    <w:p>
      <w:pPr>
        <w:pStyle w:val="93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прогнозе социально-экономического развития Еврейской автономной области на 2025 год и на плановый период 2026 и 2027 годов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ind w:firstLine="450"/>
        <w:jc w:val="both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450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целях исполнения положений Бюджетного кодекса Российской Федерации, закона Еврейской автономной области от 28.10.2015 № 792-ОЗ «О стратегическом планировании в Еврейской автономной области», постановления правительства Еврейской автономной области от 02</w:t>
      </w:r>
      <w:r>
        <w:rPr>
          <w:color w:val="000000"/>
          <w:szCs w:val="28"/>
        </w:rPr>
        <w:t xml:space="preserve">.06.2015 № 247-пп «Об утверждении Порядка разработки, корректировки, осуществления мониторинга и контроля реализации прогноза социально-экономического развития Еврейской автономной области на среднесрочный период» правительство Еврейской автономной области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ПОСТАНОВЛЯЕТ: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Одобрить прилагаемый прогноз социально-экономического развития Еврейской автономной области на 2025 год и на плановый период 2026 и 2027 годов.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Департаменту экономики правительства Еврейской автономной области представить прогноз социально-экономического развития Еврейской автономной области на 2025 год и на плановый период 2026 и 2027 годов в департамент фина</w:t>
      </w:r>
      <w:r>
        <w:rPr>
          <w:color w:val="000000"/>
          <w:szCs w:val="28"/>
        </w:rPr>
        <w:t xml:space="preserve">нсов правительства Еврейской автономной области для представления одновременно с проектом закона Еврейской автономной области «Об областном бюджете на 2025 год и на плановый период 2026 и 2027 годов» в Законодательное Собрание Еврейской автономной области.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Настоящее постановление вступает в силу после дня его официального опубликования.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jc w:val="right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jc w:val="right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jc w:val="right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jc w:val="both"/>
        <w:rPr>
          <w:szCs w:val="28"/>
          <w:highlight w:val="yellow"/>
        </w:rPr>
      </w:pPr>
      <w:r>
        <w:rPr>
          <w:szCs w:val="28"/>
          <w:highlight w:val="white"/>
        </w:rPr>
        <w:t xml:space="preserve">Губернатор области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  <w:t xml:space="preserve">   Р.Э. Гольдшт</w:t>
      </w:r>
      <w:r>
        <w:rPr>
          <w:szCs w:val="28"/>
        </w:rPr>
        <w:t xml:space="preserve">ейн</w:t>
      </w:r>
      <w:r>
        <w:rPr>
          <w:szCs w:val="28"/>
          <w:highlight w:val="yellow"/>
        </w:rPr>
      </w:r>
      <w:r>
        <w:rPr>
          <w:szCs w:val="28"/>
          <w:highlight w:val="yellow"/>
        </w:rPr>
      </w:r>
    </w:p>
    <w:p>
      <w:pPr>
        <w:jc w:val="right"/>
        <w:rPr>
          <w:color w:val="000000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color w:val="000000"/>
          <w:szCs w:val="28"/>
        </w:rPr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ОДОБРЕН</w:t>
      </w:r>
      <w:r/>
    </w:p>
    <w:p>
      <w:pPr>
        <w:tabs>
          <w:tab w:val="left" w:pos="10773" w:leader="none"/>
        </w:tabs>
      </w:pPr>
      <w:r>
        <w:tab/>
      </w:r>
      <w:r/>
    </w:p>
    <w:p>
      <w:pPr>
        <w:tabs>
          <w:tab w:val="left" w:pos="10488" w:leader="none"/>
        </w:tabs>
      </w:pPr>
      <w:r>
        <w:tab/>
        <w:t xml:space="preserve">Постановлением правительства</w:t>
      </w:r>
      <w:r/>
    </w:p>
    <w:p>
      <w:pPr>
        <w:ind w:left="9912"/>
        <w:jc w:val="both"/>
      </w:pPr>
      <w:r>
        <w:t xml:space="preserve">        Еврейской автономной области</w:t>
      </w:r>
      <w:r/>
    </w:p>
    <w:p>
      <w:pPr>
        <w:ind w:right="142"/>
        <w:jc w:val="right"/>
      </w:pPr>
      <w:r>
        <w:t xml:space="preserve">от ________________ № ______</w:t>
      </w:r>
      <w:r/>
    </w:p>
    <w:p>
      <w:pPr>
        <w:pStyle w:val="90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0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0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Еврейской автономной области на 2025 год и на плановый период 2026 и 2027 годов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0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0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Показатели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0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прогноза социально-экономического развития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0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Еврейской автономной области на 2025 год и на плановый период 2026 и 2027 годов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4315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685"/>
        <w:gridCol w:w="1417"/>
        <w:gridCol w:w="992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год,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Прогнозный период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0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0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0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2027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8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3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вар.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3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 вар.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3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III вар.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3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вар.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3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 вар.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3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III вар.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3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вар.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3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 вар.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3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III вар.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900"/>
        <w:jc w:val="center"/>
        <w:rPr>
          <w:rFonts w:ascii="Times New Roman" w:hAnsi="Times New Roman" w:cs="Times New Roman"/>
        </w:rPr>
        <w:sectPr>
          <w:footnotePr/>
          <w:endnotePr/>
          <w:type w:val="nextPage"/>
          <w:pgSz w:w="16838" w:h="11906" w:orient="landscape"/>
          <w:pgMar w:top="1134" w:right="850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685"/>
        <w:gridCol w:w="1417"/>
        <w:gridCol w:w="992"/>
        <w:gridCol w:w="913"/>
        <w:gridCol w:w="913"/>
        <w:gridCol w:w="913"/>
        <w:gridCol w:w="913"/>
        <w:gridCol w:w="913"/>
        <w:gridCol w:w="913"/>
        <w:gridCol w:w="47"/>
        <w:gridCol w:w="866"/>
        <w:gridCol w:w="913"/>
        <w:gridCol w:w="913"/>
      </w:tblGrid>
      <w:tr>
        <w:tblPrEx/>
        <w:trPr>
          <w:trHeight w:val="15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textDirection w:val="lrTb"/>
            <w:noWrap w:val="false"/>
          </w:tcPr>
          <w:p>
            <w:pPr>
              <w:pStyle w:val="900"/>
              <w:jc w:val="center"/>
              <w:tabs>
                <w:tab w:val="left" w:pos="21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textDirection w:val="lrTb"/>
            <w:noWrap w:val="false"/>
          </w:tcPr>
          <w:p>
            <w:pPr>
              <w:pStyle w:val="900"/>
              <w:jc w:val="center"/>
              <w:tabs>
                <w:tab w:val="left" w:pos="21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textDirection w:val="lrTb"/>
            <w:noWrap w:val="false"/>
          </w:tcPr>
          <w:p>
            <w:pPr>
              <w:pStyle w:val="900"/>
              <w:jc w:val="center"/>
              <w:tabs>
                <w:tab w:val="left" w:pos="21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textDirection w:val="lrTb"/>
            <w:noWrap w:val="false"/>
          </w:tcPr>
          <w:p>
            <w:pPr>
              <w:pStyle w:val="900"/>
              <w:jc w:val="center"/>
              <w:tabs>
                <w:tab w:val="left" w:pos="21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textDirection w:val="lrTb"/>
            <w:noWrap w:val="false"/>
          </w:tcPr>
          <w:p>
            <w:pPr>
              <w:pStyle w:val="900"/>
              <w:jc w:val="center"/>
              <w:tabs>
                <w:tab w:val="left" w:pos="21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textDirection w:val="lrTb"/>
            <w:noWrap w:val="false"/>
          </w:tcPr>
          <w:p>
            <w:pPr>
              <w:pStyle w:val="900"/>
              <w:jc w:val="center"/>
              <w:tabs>
                <w:tab w:val="left" w:pos="21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6" w:type="dxa"/>
            <w:textDirection w:val="lrTb"/>
            <w:noWrap w:val="false"/>
          </w:tcPr>
          <w:p>
            <w:pPr>
              <w:pStyle w:val="900"/>
              <w:jc w:val="center"/>
              <w:tabs>
                <w:tab w:val="left" w:pos="21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textDirection w:val="lrTb"/>
            <w:noWrap w:val="false"/>
          </w:tcPr>
          <w:p>
            <w:pPr>
              <w:pStyle w:val="900"/>
              <w:jc w:val="center"/>
              <w:tabs>
                <w:tab w:val="left" w:pos="21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textDirection w:val="lrTb"/>
            <w:noWrap w:val="false"/>
          </w:tcPr>
          <w:p>
            <w:pPr>
              <w:pStyle w:val="900"/>
              <w:jc w:val="center"/>
              <w:tabs>
                <w:tab w:val="left" w:pos="21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39"/>
        </w:trPr>
        <w:tc>
          <w:tcPr>
            <w:gridSpan w:val="1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15" w:type="dxa"/>
            <w:vAlign w:val="center"/>
            <w:textDirection w:val="lrTb"/>
            <w:noWrap w:val="false"/>
          </w:tcPr>
          <w:p>
            <w:pPr>
              <w:pStyle w:val="900"/>
              <w:numPr>
                <w:ilvl w:val="0"/>
                <w:numId w:val="10"/>
              </w:numPr>
              <w:ind w:left="0" w:firstLine="0"/>
              <w:jc w:val="center"/>
              <w:tabs>
                <w:tab w:val="left" w:pos="21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Население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45"/>
        </w:trPr>
        <w:tc>
          <w:tcPr>
            <w:tcBorders>
              <w:top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населения (в среднегодовом исчислении)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человек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144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87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143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143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144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141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142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  <w:t xml:space="preserve">9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144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139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80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141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144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60</w:t>
            </w:r>
            <w:r/>
          </w:p>
        </w:tc>
      </w:tr>
      <w:tr>
        <w:tblPrEx/>
        <w:trPr>
          <w:trHeight w:val="766"/>
        </w:trPr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населения трудоспособного возраста                </w:t>
            </w:r>
            <w:r>
              <w:rPr>
                <w:sz w:val="22"/>
                <w:szCs w:val="22"/>
              </w:rPr>
              <w:t xml:space="preserve">   (</w:t>
            </w:r>
            <w:r>
              <w:rPr>
                <w:sz w:val="22"/>
                <w:szCs w:val="22"/>
              </w:rPr>
              <w:t xml:space="preserve">на 01 января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человек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85,37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82,71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82,96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83,21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81,70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82,27</w:t>
            </w:r>
            <w:r/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82,96</w:t>
            </w:r>
            <w:r/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80,78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81,71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83,01</w:t>
            </w:r>
            <w:r/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населения старше трудоспособного возраста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 01 января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человек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31,47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31,07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31,16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32,33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30,69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30,90</w:t>
            </w:r>
            <w:r/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32,23</w:t>
            </w:r>
            <w:r/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30,34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30,69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32,25</w:t>
            </w:r>
            <w:r/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Ожидаемая продолжительность жизни при рождении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лет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69,23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68,98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70,75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71,11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69,83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71,63</w:t>
            </w:r>
            <w:r/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71,99</w:t>
            </w:r>
            <w:r/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70,67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71,77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72,86</w:t>
            </w:r>
            <w:r/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коэффициент рождаемости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родившихся на 1 тыс. человек населения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9,18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9,25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9,68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10,31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9,29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9,77</w:t>
            </w:r>
            <w:r/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10,63</w:t>
            </w:r>
            <w:r/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9,29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10,32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10,88</w:t>
            </w:r>
            <w:r/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коэффициент смертности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умерших на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тыс. человек населения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14,05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14,09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13,73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12,80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14,07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13,28</w:t>
            </w:r>
            <w:r/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12,69</w:t>
            </w:r>
            <w:r/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14,01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12,82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12,55</w:t>
            </w:r>
            <w:r/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Коэффициент естественного прироста населения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1 тыс. человек населения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-4,87</w:t>
            </w:r>
            <w:r/>
          </w:p>
        </w:tc>
        <w:tc>
          <w:tcPr>
            <w:shd w:val="clear" w:color="auto" w:fill="auto"/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-4,84</w:t>
            </w:r>
            <w:r/>
          </w:p>
        </w:tc>
        <w:tc>
          <w:tcPr>
            <w:shd w:val="clear" w:color="auto" w:fill="auto"/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-4,05</w:t>
            </w:r>
            <w:r/>
          </w:p>
        </w:tc>
        <w:tc>
          <w:tcPr>
            <w:shd w:val="clear" w:color="auto" w:fill="auto"/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-2,50</w:t>
            </w:r>
            <w:r/>
          </w:p>
        </w:tc>
        <w:tc>
          <w:tcPr>
            <w:shd w:val="clear" w:color="auto" w:fill="auto"/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-4,77</w:t>
            </w:r>
            <w:r/>
          </w:p>
        </w:tc>
        <w:tc>
          <w:tcPr>
            <w:shd w:val="clear" w:color="auto" w:fill="auto"/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-3,51</w:t>
            </w:r>
            <w:r/>
          </w:p>
        </w:tc>
        <w:tc>
          <w:tcPr>
            <w:gridSpan w:val="2"/>
            <w:shd w:val="clear" w:color="auto" w:fill="auto"/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-2,06</w:t>
            </w:r>
            <w:r/>
          </w:p>
        </w:tc>
        <w:tc>
          <w:tcPr>
            <w:shd w:val="clear" w:color="auto" w:fill="auto"/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-4,72</w:t>
            </w:r>
            <w:r/>
          </w:p>
        </w:tc>
        <w:tc>
          <w:tcPr>
            <w:shd w:val="clear" w:color="auto" w:fill="auto"/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-2,50</w:t>
            </w:r>
            <w:r/>
          </w:p>
        </w:tc>
        <w:tc>
          <w:tcPr>
            <w:shd w:val="clear" w:color="auto" w:fill="auto"/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-1,67</w:t>
            </w:r>
            <w:r/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Миграционный прирост (убыль)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человек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-1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15</w:t>
            </w:r>
            <w:r/>
          </w:p>
        </w:tc>
        <w:tc>
          <w:tcPr>
            <w:shd w:val="clear" w:color="auto" w:fill="auto"/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-1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7</w:t>
            </w:r>
            <w:r/>
          </w:p>
        </w:tc>
        <w:tc>
          <w:tcPr>
            <w:shd w:val="clear" w:color="auto" w:fill="auto"/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0,</w:t>
            </w:r>
            <w:r>
              <w:rPr>
                <w:sz w:val="22"/>
                <w:szCs w:val="22"/>
              </w:rPr>
              <w:t xml:space="preserve">62</w:t>
            </w:r>
            <w:r/>
          </w:p>
        </w:tc>
        <w:tc>
          <w:tcPr>
            <w:shd w:val="clear" w:color="auto" w:fill="auto"/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0,</w:t>
            </w:r>
            <w:r>
              <w:rPr>
                <w:sz w:val="22"/>
                <w:szCs w:val="22"/>
              </w:rPr>
              <w:t xml:space="preserve">73</w:t>
            </w:r>
            <w:r/>
          </w:p>
        </w:tc>
        <w:tc>
          <w:tcPr>
            <w:shd w:val="clear" w:color="auto" w:fill="auto"/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0,</w:t>
            </w: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  <w:t xml:space="preserve">3</w:t>
            </w:r>
            <w:r/>
          </w:p>
        </w:tc>
        <w:tc>
          <w:tcPr>
            <w:shd w:val="clear" w:color="auto" w:fill="auto"/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0,</w:t>
            </w:r>
            <w:r>
              <w:rPr>
                <w:sz w:val="22"/>
                <w:szCs w:val="22"/>
              </w:rPr>
              <w:t xml:space="preserve">48</w:t>
            </w:r>
            <w:r/>
          </w:p>
        </w:tc>
        <w:tc>
          <w:tcPr>
            <w:gridSpan w:val="2"/>
            <w:shd w:val="clear" w:color="auto" w:fill="auto"/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</w:t>
            </w: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8</w:t>
            </w:r>
            <w:r/>
          </w:p>
        </w:tc>
        <w:tc>
          <w:tcPr>
            <w:shd w:val="clear" w:color="auto" w:fill="auto"/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0,90</w:t>
            </w:r>
            <w:r/>
          </w:p>
        </w:tc>
        <w:tc>
          <w:tcPr>
            <w:shd w:val="clear" w:color="auto" w:fill="auto"/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0,</w:t>
            </w:r>
            <w:r>
              <w:rPr>
                <w:sz w:val="22"/>
                <w:szCs w:val="22"/>
              </w:rPr>
              <w:t xml:space="preserve">32</w:t>
            </w:r>
            <w:r/>
          </w:p>
        </w:tc>
        <w:tc>
          <w:tcPr>
            <w:shd w:val="clear" w:color="auto" w:fill="auto"/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  <w:t xml:space="preserve">2</w:t>
            </w:r>
            <w:r/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родившихся за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человек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33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32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39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49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31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,40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,30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57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умерших за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человек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85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89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83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81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Естественный прирост населения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человек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0,</w:t>
            </w: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0,</w:t>
            </w:r>
            <w:r>
              <w:rPr>
                <w:sz w:val="22"/>
                <w:szCs w:val="22"/>
              </w:rPr>
              <w:t xml:space="preserve">69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0,</w:t>
            </w:r>
            <w:r>
              <w:rPr>
                <w:sz w:val="22"/>
                <w:szCs w:val="22"/>
              </w:rPr>
              <w:t xml:space="preserve">58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0,</w:t>
            </w:r>
            <w:r>
              <w:rPr>
                <w:sz w:val="22"/>
                <w:szCs w:val="22"/>
              </w:rPr>
              <w:t xml:space="preserve">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0,</w:t>
            </w: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0,</w:t>
            </w:r>
            <w:r>
              <w:rPr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0,30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0,</w:t>
            </w:r>
            <w:r>
              <w:rPr>
                <w:sz w:val="22"/>
                <w:szCs w:val="22"/>
              </w:rPr>
              <w:t xml:space="preserve">66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0,</w:t>
            </w: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0,</w:t>
            </w:r>
            <w:r>
              <w:rPr>
                <w:sz w:val="22"/>
                <w:szCs w:val="22"/>
              </w:rPr>
              <w:t xml:space="preserve">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прибывших за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человек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29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39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83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выбывших за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человек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75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,90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31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Коэффициент миграционного прироста населени</w:t>
            </w:r>
            <w:r>
              <w:rPr>
                <w:rFonts w:ascii="Times New Roman" w:hAnsi="Times New Roman" w:cs="Times New Roman"/>
              </w:rPr>
              <w:t xml:space="preserve">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На 1 тыс. человек населения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22,9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gridSpan w:val="13"/>
            <w:tcW w:w="1431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Валовой региональный продукт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Валовой региональный </w:t>
            </w:r>
            <w:r>
              <w:rPr>
                <w:rFonts w:ascii="Times New Roman" w:hAnsi="Times New Roman" w:cs="Times New Roman"/>
              </w:rPr>
              <w:t xml:space="preserve">продукт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Млрд.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102,18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109,35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110,92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112,10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117,03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119,87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122,90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125,35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130,49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136,42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Темп роста объема валового регионального продукта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к предыдущему году в сопоставимых ценах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104,40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102,00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103,50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104,80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102,40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103,60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105,40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102,80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104,60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107,10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Индекс-дефлятор объема валового регионального продукта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к предыдущему году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106,90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104,90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104,70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104,50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104,30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104,20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103,60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Выпуск товаров и услуг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Млрд.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178,74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191,50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194,27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196,38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205,16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210,51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215,96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220,07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229,79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240,65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13"/>
            <w:tcW w:w="1431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3. Промышленное производство</w: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отгруженных товаров собственного производства, выполненных работ и услуг собственными силами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Млрд. рублей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43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46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46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47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49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61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53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61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52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74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55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75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61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46</w:t>
            </w:r>
            <w:r/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Индекс промышленного производства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предыдущему году в сопоставимых ценах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100,48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101,71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102,78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104,78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102,44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104,58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108,83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102,64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105,52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109,91</w:t>
            </w:r>
            <w:r/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Добыча полезных ископаемых </w:t>
            </w:r>
            <w:r>
              <w:rPr>
                <w:bCs/>
                <w:iCs/>
                <w:sz w:val="22"/>
                <w:szCs w:val="22"/>
              </w:rPr>
            </w:r>
            <w:r>
              <w:rPr>
                <w:bCs/>
                <w:iCs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предыдущему году в сопоставимых ценах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100,17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101,71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102,77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105,27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102,29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104,94</w:t>
            </w:r>
            <w:r/>
          </w:p>
        </w:tc>
        <w:tc>
          <w:tcPr>
            <w:gridSpan w:val="2"/>
            <w:tcBorders>
              <w:left w:val="non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110,53</w:t>
            </w:r>
            <w:r/>
          </w:p>
        </w:tc>
        <w:tc>
          <w:tcPr>
            <w:tcBorders>
              <w:left w:val="non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103,12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106,63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112,13</w:t>
            </w:r>
            <w:r/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Добыча угля</w:t>
            </w:r>
            <w:r>
              <w:rPr>
                <w:bCs/>
                <w:iCs/>
                <w:sz w:val="22"/>
                <w:szCs w:val="22"/>
              </w:rPr>
            </w:r>
            <w:r>
              <w:rPr>
                <w:bCs/>
                <w:iCs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предыдущему </w:t>
            </w:r>
            <w:r>
              <w:rPr>
                <w:sz w:val="22"/>
                <w:szCs w:val="22"/>
              </w:rPr>
              <w:t xml:space="preserve">году в сопоставимых ценах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gridSpan w:val="2"/>
            <w:tcBorders>
              <w:left w:val="non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</w:tr>
      <w:tr>
        <w:tblPrEx/>
        <w:trPr>
          <w:trHeight w:val="1401"/>
        </w:trPr>
        <w:tc>
          <w:tcPr>
            <w:tcW w:w="3685" w:type="dxa"/>
            <w:textDirection w:val="lrTb"/>
            <w:noWrap w:val="false"/>
          </w:tcPr>
          <w:p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Добыча сырой нефти и природного газа</w:t>
            </w:r>
            <w:r>
              <w:rPr>
                <w:bCs/>
                <w:iCs/>
                <w:sz w:val="22"/>
                <w:szCs w:val="22"/>
              </w:rPr>
            </w:r>
            <w:r>
              <w:rPr>
                <w:bCs/>
                <w:iCs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предыдущему году в сопоставимых ценах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gridSpan w:val="2"/>
            <w:tcBorders>
              <w:left w:val="non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Добыча металлических руд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предыдущему году в сопоставимых ценах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100,28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101,13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101,72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103,32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102,14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104,80</w:t>
            </w:r>
            <w:r/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110,50</w:t>
            </w:r>
            <w:r/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103,51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107,35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113,20</w:t>
            </w:r>
            <w:r/>
          </w:p>
        </w:tc>
      </w:tr>
      <w:tr>
        <w:tblPrEx/>
        <w:trPr>
          <w:trHeight w:val="1265"/>
        </w:trPr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Добыча прочих полезных ископаемых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предыдущему году в сопоставимых ценах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103,20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105,51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110,64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120,77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103,24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106,85</w:t>
            </w:r>
            <w:r/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112,40</w:t>
            </w:r>
            <w:r/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101,35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102,67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106,25</w:t>
            </w:r>
            <w:r/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услуг в области добычи полезных ископаемых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предыдущему году в сопоставимых ценах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gridSpan w:val="2"/>
            <w:tcBorders>
              <w:left w:val="non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Обрабатывающие производства </w:t>
            </w:r>
            <w:r>
              <w:rPr>
                <w:bCs/>
                <w:iCs/>
                <w:sz w:val="22"/>
                <w:szCs w:val="22"/>
              </w:rPr>
            </w:r>
            <w:r>
              <w:rPr>
                <w:bCs/>
                <w:iCs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предыдущему году в сопоставимых ценах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100,06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100,56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101,38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102,59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100,19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100,60</w:t>
            </w:r>
            <w:r/>
          </w:p>
        </w:tc>
        <w:tc>
          <w:tcPr>
            <w:gridSpan w:val="2"/>
            <w:tcBorders>
              <w:left w:val="non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101,31</w:t>
            </w:r>
            <w:r/>
          </w:p>
        </w:tc>
        <w:tc>
          <w:tcPr>
            <w:tcBorders>
              <w:left w:val="non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100,80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101,73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102,82</w:t>
            </w:r>
            <w:r/>
          </w:p>
        </w:tc>
      </w:tr>
      <w:tr>
        <w:tblPrEx/>
        <w:trPr>
          <w:trHeight w:val="1210"/>
        </w:trPr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Производство пищевых продуктов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предыдущему году в сопоставимых ценах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100,06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100,14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100,63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101,25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100,61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101,83</w:t>
            </w:r>
            <w:r/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102,60</w:t>
            </w:r>
            <w:r/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101,22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103,80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105,47</w:t>
            </w:r>
            <w:r/>
          </w:p>
        </w:tc>
      </w:tr>
      <w:tr>
        <w:tblPrEx/>
        <w:trPr>
          <w:trHeight w:val="1421"/>
        </w:trPr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Производство напитков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предыдущему году в сопоставимых ценах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100,11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100,06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100,53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101,14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100,14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100,86</w:t>
            </w:r>
            <w:r/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101,20</w:t>
            </w:r>
            <w:r/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100,49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101,28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102,34</w:t>
            </w:r>
            <w:r/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Производство табачных изделий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предыдущему году в сопоставимых ценах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gridSpan w:val="2"/>
            <w:tcBorders>
              <w:left w:val="non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Производство текстильных изделий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предыдущему году в сопоставимых ценах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100,08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100,26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100,74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101,00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100,50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101,12</w:t>
            </w:r>
            <w:r/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102,60</w:t>
            </w:r>
            <w:r/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100,23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101,03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101,66</w:t>
            </w:r>
            <w:r/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Производство одежды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предыдущему году в сопоставимых ценах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100,14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100,40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101,10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102,04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100,16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100,80</w:t>
            </w:r>
            <w:r/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101,92</w:t>
            </w:r>
            <w:r/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100,63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101,25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102,33</w:t>
            </w:r>
            <w:r/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Производство кожи и изделий из кожи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предыдущему году в сопоставимых ценах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100,35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100,65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101,86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103,10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100,10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100,45</w:t>
            </w:r>
            <w:r/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101,17</w:t>
            </w:r>
            <w:r/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101,67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102,33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103,40</w:t>
            </w:r>
            <w:r/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предыдущему году в сопоставимых ценах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100,54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101,34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102,80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107,30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100,15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100,70</w:t>
            </w:r>
            <w:r/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101,80</w:t>
            </w:r>
            <w:r/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100,37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101,22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102,16</w:t>
            </w:r>
            <w:r/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Производство бумаги и бумажных изделий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предыдущему году в сопоставимых ценах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gridSpan w:val="2"/>
            <w:tcBorders>
              <w:left w:val="non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полиграфическая и копирование носителей информации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предыдущему году в сопоставимых ценах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112,50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101,40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102,00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103,45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100,50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101,25</w:t>
            </w:r>
            <w:r/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102,30</w:t>
            </w:r>
            <w:r/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100,24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101,16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102,00</w:t>
            </w:r>
            <w:r/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Производство кокса и нефтепродуктов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предыдущему году в сопоставимых ценах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gridSpan w:val="2"/>
            <w:tcBorders>
              <w:left w:val="non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Производство химических веществ и химических продуктов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предыдущему году в сопоставимых ценах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gridSpan w:val="2"/>
            <w:tcBorders>
              <w:left w:val="non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Производство лекарственных средств и материалов, применяемых в медицинских целях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предыдущему году в сопоставимых ценах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gridSpan w:val="2"/>
            <w:tcBorders>
              <w:left w:val="non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Производство резиновых и пластмассовых изделий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предыдущему году в сопоставимых ценах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102,23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100,72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101,64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102,87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100,36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101,10</w:t>
            </w:r>
            <w:r/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101,83</w:t>
            </w:r>
            <w:r/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100,57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101,66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102,91</w:t>
            </w:r>
            <w:r/>
          </w:p>
        </w:tc>
      </w:tr>
      <w:tr>
        <w:tblPrEx/>
        <w:trPr>
          <w:trHeight w:val="1320"/>
        </w:trPr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Производство прочей неметаллической минеральной продукции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предыдущему году в сопоставимых ценах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102,45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100,51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101,70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102,66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100,32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101,11</w:t>
            </w:r>
            <w:r/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101,83</w:t>
            </w:r>
            <w:r/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101,78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103,35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105,47</w:t>
            </w:r>
            <w:r/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Производство металлургическое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предыдущему году в сопоставимых ценах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gridSpan w:val="2"/>
            <w:tcBorders>
              <w:left w:val="non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Производство готовых металлических изделий, кроме машин и оборудования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предыдущему году в сопоставимых ценах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106,54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100,30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101,45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102,70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100,14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101,25</w:t>
            </w:r>
            <w:r/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102,16</w:t>
            </w:r>
            <w:r/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100,90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101,61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102,47</w:t>
            </w:r>
            <w:r/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Производство компьютеров, электронных и оптических изделий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предыдущему году в сопоставимых ценах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gridSpan w:val="2"/>
            <w:tcBorders>
              <w:left w:val="non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Производство электрического оборудования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предыдущему году в сопоставимых ценах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gridSpan w:val="2"/>
            <w:tcBorders>
              <w:left w:val="non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Производство машин и оборудования, не включенных в другие группировки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предыдущему году в сопоставимых ценах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gridSpan w:val="2"/>
            <w:tcBorders>
              <w:left w:val="non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</w:tr>
      <w:tr>
        <w:tblPrEx/>
        <w:trPr>
          <w:trHeight w:val="1351"/>
        </w:trPr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Производство автотранспортных средств, прицепов и полуприцепов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предыдущему году в сопоставимых ценах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gridSpan w:val="2"/>
            <w:tcBorders>
              <w:left w:val="non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Производство прочих транспортных средств и оборудования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предыдущему году в сопоставимых ценах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gridSpan w:val="2"/>
            <w:tcBorders>
              <w:left w:val="non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Производство мебели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предыдущему году в сопоставимых ценах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107,70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100,50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101,10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102,40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100,09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100,70</w:t>
            </w:r>
            <w:r/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101,55</w:t>
            </w:r>
            <w:r/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101,56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102,14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102,90</w:t>
            </w:r>
            <w:r/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Производство прочих готовых изделий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предыдущему году в сопоставимых ценах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gridSpan w:val="2"/>
            <w:tcBorders>
              <w:left w:val="non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и монтаж машин и оборудования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предыдущему году в сопоставимых ценах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107,31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101,70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102,14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102,64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100,67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101,05</w:t>
            </w:r>
            <w:r/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101,82</w:t>
            </w:r>
            <w:r/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101,03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102,11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103,12</w:t>
            </w:r>
            <w:r/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Обеспечение электрической энергией, газом и паром; кондиционирование воздуха </w:t>
            </w:r>
            <w:r>
              <w:rPr>
                <w:bCs/>
                <w:iCs/>
                <w:sz w:val="22"/>
                <w:szCs w:val="22"/>
              </w:rPr>
            </w:r>
            <w:r>
              <w:rPr>
                <w:bCs/>
                <w:iCs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предыдущему году в сопоставимых ценах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100,63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100,87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101,64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102,52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103,92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106,64</w:t>
            </w:r>
            <w:r/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109,87</w:t>
            </w:r>
            <w:r/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103,10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105,60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108,79</w:t>
            </w:r>
            <w:r/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Водоснабжение; водоотведение, организация сбора и утилизации отходов, деятельность по ликвидации загрязнений</w:t>
            </w:r>
            <w:r>
              <w:rPr>
                <w:bCs/>
                <w:iCs/>
                <w:sz w:val="22"/>
                <w:szCs w:val="22"/>
              </w:rPr>
            </w:r>
            <w:r>
              <w:rPr>
                <w:bCs/>
                <w:iCs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предыдущему году в сопоставимых ценах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104,30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100,31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101,04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102,30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101,86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102,58</w:t>
            </w:r>
            <w:r/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103,74</w:t>
            </w:r>
            <w:r/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101,30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102,12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102,80</w:t>
            </w:r>
            <w:r/>
          </w:p>
        </w:tc>
      </w:tr>
      <w:tr>
        <w:tblPrEx/>
        <w:trPr>
          <w:trHeight w:val="799"/>
        </w:trPr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Средние тарифы на электроэнергию, отпущенную различным категориям потребителей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Руб./тыс. кВт.ч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4621,45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4884,87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4884,87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4884,87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5080,27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5080,27</w:t>
            </w:r>
            <w:r/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5080,27</w:t>
            </w:r>
            <w:r/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5283,48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5283,48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5283,48</w:t>
            </w:r>
            <w:r/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Индекс тарифов на электроэнергию, отпущенную различным категориям потребителей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период с начала года к соответствую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щему периоду предыдущего года, 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106,00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105,70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105,70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105,70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104,00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104,00</w:t>
            </w:r>
            <w:r/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104,00</w:t>
            </w:r>
            <w:r/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104,00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104,00</w:t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104,00</w:t>
            </w:r>
            <w:r/>
          </w:p>
        </w:tc>
      </w:tr>
      <w:tr>
        <w:tblPrEx/>
        <w:trPr/>
        <w:tc>
          <w:tcPr>
            <w:gridSpan w:val="13"/>
            <w:tcW w:w="1431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4. Сельское хозяйство</w: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Продукция сельского хозяйства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Млрд.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8724,43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9259,36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9403,61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9573,7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9827,37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10210,32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10646,75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10504,27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11329,19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12735,61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Индекс производства продукции сельского хозяйства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предыдущему году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102,51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101,08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102,76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102,12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104,52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107,16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102,98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106,96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115,42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Продукция растениеводства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Млрд.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6756,17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7203,69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7342,27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7500,41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7690,42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8053,53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8466,65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8274,03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9061,39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10416,09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Индекс производства продукции </w:t>
            </w:r>
            <w:r>
              <w:rPr>
                <w:sz w:val="22"/>
                <w:szCs w:val="22"/>
              </w:rPr>
              <w:t xml:space="preserve">растениеводства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к </w:t>
            </w:r>
            <w:r>
              <w:rPr>
                <w:rFonts w:ascii="Times New Roman" w:hAnsi="Times New Roman" w:cs="Times New Roman"/>
              </w:rPr>
              <w:t xml:space="preserve">предыдущему году в сопоставимых ценах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103,18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101,45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103,50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105,83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102,70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105,57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108,75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103,70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108,50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118,75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Продукция животноводства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Млрд.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1968,27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2055,67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2061,35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2073,29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2136,95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2156,79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2180,10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2230,24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2267,8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2319,52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Индекс производства продукции животноводства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к предыдущему году в сопоставимых ценах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100,30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99,80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100,20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100,10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100,80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101,40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100,40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101,20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102,50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gridSpan w:val="13"/>
            <w:tcW w:w="1431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5. Строительство</w: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работ, выполненных по виду деятельности «Строительство»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Млрд. рублей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29</w:t>
            </w:r>
            <w:r>
              <w:rPr>
                <w:sz w:val="22"/>
                <w:szCs w:val="22"/>
                <w:highlight w:val="white"/>
                <w:lang w:val="ru-RU"/>
              </w:rPr>
              <w:t xml:space="preserve">,</w:t>
            </w:r>
            <w:r>
              <w:rPr>
                <w:sz w:val="22"/>
                <w:szCs w:val="22"/>
                <w:highlight w:val="white"/>
                <w:lang w:val="en-US"/>
              </w:rPr>
              <w:t xml:space="preserve">42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32,40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33,08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33,56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35,76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37,38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left w:val="non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38,16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39,38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42,27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43,26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Индекс физического объема работ, выполненных по виду деятельности «Строительство»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предыдущему году в сопоставимых ценах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109,00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104,10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106,50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108,00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104,90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107,60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left w:val="non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108,30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105,30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108,10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108,40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Индекс-дефлятор по виду деятельности «Строительство»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предыдущему году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107,00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105,80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105,60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105,60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105,20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105,00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left w:val="non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105,00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104,60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104,60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104,60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 в действие жилых домов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Тыс. кв. м в общей площади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32,00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32,20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32,50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33,00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33,00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33,50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left w:val="non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34,00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33,50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34,00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34,50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13"/>
            <w:tcW w:w="1431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6. Торговля и услуги населению</w: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Индекс потребительских цен на конец года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декабрю предыдущего </w:t>
            </w:r>
            <w:r>
              <w:rPr>
                <w:sz w:val="22"/>
                <w:szCs w:val="22"/>
              </w:rPr>
              <w:t xml:space="preserve">года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105,43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104,60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104,38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104,38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104,50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104,33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104,33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104,20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104,08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104,08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Индекс потребительских цен в среднем за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предыдущему году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107,92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105,20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104,51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104,51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104,50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104,29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104,29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104,40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104,27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104,27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Оборот розничной торговли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Млрд. рублей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46,71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49,88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50,38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50,53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52,91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54,38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54,81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56,12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57,84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58,86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Индекс физического объема оборота розничной торговли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предыдущему году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113,50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101,50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103,20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103,50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101,50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103,50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104,00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101,60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102,00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103,00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Индекс-дефлятор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предыдущему году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108,66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105,20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104,51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104,51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104,50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104,29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104,29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104,40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104,27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104,27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платных услуг населению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Млрд. рублей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12,88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13,68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13,87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13,94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14,57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14,91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15,13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15,33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15,83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16,20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Индекс физического объема платных услуг населению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предыдущему году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101,28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101,10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102,50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103,00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102,00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103,00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104,00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101,15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102,00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102,90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Индекс-дефлятор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предыдущему году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107,14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105,06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105,06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105,06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104,41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104,41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104,41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104,06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104,06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104,06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13"/>
            <w:tcW w:w="1431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7. Внешнеэкономическая деятельность</w: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Экспорт товаров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Млн. долл. США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282,70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314,40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319,10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336,40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340,40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373,40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380,10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77"/>
        </w:trPr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Импорт товаров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Млн. долл. США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21,40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21,90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22,20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23,40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23,90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25,00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25,90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Страны дальнего зарубежья</w:t>
            </w:r>
            <w:r>
              <w:rPr>
                <w:bCs/>
                <w:iCs/>
                <w:sz w:val="22"/>
                <w:szCs w:val="22"/>
              </w:rPr>
            </w:r>
            <w:r>
              <w:rPr>
                <w:bCs/>
                <w:iCs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Экспорт товаров, всего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Млн. долл. США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282,60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314,20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318,80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336,10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340,10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373,10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379,80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Экспорт топливно-энергетического комплекса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Млн. долл. США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89"/>
        </w:trPr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Импорт товаров, всего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Млн. долл. США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19,20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19,60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19,80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20,80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21,20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22,30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23,00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Государства – участники СНГ </w:t>
            </w:r>
            <w:r>
              <w:rPr>
                <w:bCs/>
                <w:iCs/>
                <w:sz w:val="22"/>
                <w:szCs w:val="22"/>
              </w:rPr>
            </w:r>
            <w:r>
              <w:rPr>
                <w:bCs/>
                <w:iCs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Экспорт товаров, всего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Млн. долл. США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Импорт товаров, всего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Млн. долл. США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2,20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2,30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2,40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2,60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2,70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2,80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2,90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13"/>
            <w:tcW w:w="1431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8. Малое и среднее предпринимательство, включая микропредприятия</w: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малых и средних предприятий, включая микропредприятия (на конец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Единиц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3866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3889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3914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3939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3913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3963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3988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3937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4012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4037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Среднесписочная численность работников малых и средних предприятий, включая микропредприятия (без внешних совместителей)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Тыс. человек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17,8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17,84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19,19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20,39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18,23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20,15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21,35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19,21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21,16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22,36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Оборот малых и средних предприятий, включая микропредприятия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Млрд. рублей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53,98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56,20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57,72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61,30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61,80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65,40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69,10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68,00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74,72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78,32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13"/>
            <w:tcW w:w="1431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Инвестиции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Инвестиции в основной капитал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Млрд.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33,73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36,58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37,22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37,72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39,95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41,23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gridSpan w:val="2"/>
            <w:tcBorders>
              <w:left w:val="non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41,82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43,75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45,79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46,49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Индекс физического объема инвестиций в основной капитал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к предыдущему году в сопостави-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мых ценах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106,50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103,00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105,00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106,40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104,20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106,50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106,60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105,30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106,80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106,90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717"/>
        </w:trPr>
        <w:tc>
          <w:tcPr>
            <w:tcW w:w="3685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Индекс-дефлятор инвестиций в основной капитал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к предыдущему году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108,00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105,30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105,10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105,10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104,80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104,00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104,00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104,00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104,00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104,00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Удельный вес инвестиций в основной капитал в валовом региональном продукте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1684"/>
        </w:trPr>
        <w:tc>
          <w:tcPr>
            <w:tcW w:w="3685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Инвестиции в основной капитал по источникам финансирования (без субъектов малого и среднего предпринимательства и объемы инвестиций, не наблюдаемых прямыми статистическими методами)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28345,95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none"/>
              </w:rPr>
              <w:t xml:space="preserve">30743,74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none"/>
              </w:rPr>
              <w:t xml:space="preserve">31281,18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none"/>
              </w:rPr>
              <w:t xml:space="preserve">31698,26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none"/>
              </w:rPr>
              <w:t xml:space="preserve">33292,88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none"/>
              </w:rPr>
              <w:t xml:space="preserve">34358,31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none"/>
              </w:rPr>
              <w:t xml:space="preserve">35141,96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none"/>
              </w:rPr>
              <w:t xml:space="preserve">36766,09</w:t>
            </w:r>
            <w:r>
              <w:rPr>
                <w:sz w:val="18"/>
                <w:szCs w:val="18"/>
                <w:highlight w:val="yellow"/>
              </w:rPr>
            </w: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none"/>
              </w:rPr>
              <w:t xml:space="preserve">38483,15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none"/>
              </w:rPr>
              <w:t xml:space="preserve">39069,42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489"/>
        </w:trPr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Собственные средства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Млн. рублей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10200,00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none"/>
              </w:rPr>
              <w:t xml:space="preserve">11450,00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none"/>
              </w:rPr>
              <w:t xml:space="preserve">11500,00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none"/>
              </w:rPr>
              <w:t xml:space="preserve">11600,00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none"/>
              </w:rPr>
              <w:t xml:space="preserve">12850,00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none"/>
              </w:rPr>
              <w:t xml:space="preserve">13000,00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gridSpan w:val="2"/>
            <w:tcBorders>
              <w:left w:val="non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none"/>
              </w:rPr>
              <w:t xml:space="preserve">13150,00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none"/>
              </w:rPr>
              <w:t xml:space="preserve">13350,00</w:t>
            </w:r>
            <w:r>
              <w:rPr>
                <w:sz w:val="18"/>
                <w:szCs w:val="18"/>
                <w:highlight w:val="yellow"/>
              </w:rPr>
            </w: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none"/>
              </w:rPr>
              <w:t xml:space="preserve">13550,00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none"/>
              </w:rPr>
              <w:t xml:space="preserve">13650,00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Привлеченные средства, из них: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Млн. рублей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18145,95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none"/>
              </w:rPr>
              <w:t xml:space="preserve">19293,74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none"/>
              </w:rPr>
              <w:t xml:space="preserve">19781,18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none"/>
              </w:rPr>
              <w:t xml:space="preserve">20098,26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none"/>
              </w:rPr>
              <w:t xml:space="preserve">20442,88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none"/>
              </w:rPr>
              <w:t xml:space="preserve">21358,31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none"/>
              </w:rPr>
              <w:t xml:space="preserve">21991,96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none"/>
              </w:rPr>
              <w:t xml:space="preserve">23416,09</w:t>
            </w:r>
            <w:r>
              <w:rPr>
                <w:sz w:val="18"/>
                <w:szCs w:val="18"/>
                <w:highlight w:val="yellow"/>
              </w:rPr>
            </w: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none"/>
              </w:rPr>
              <w:t xml:space="preserve">24933,15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none"/>
              </w:rPr>
              <w:t xml:space="preserve">25419,42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кредиты банков,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Млн. рублей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120,00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155,00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200,00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220,00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250,00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300,00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350,00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380,00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450,00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500,00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кредиты иностранных банков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Млн. рублей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268"/>
        </w:trPr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Заемные средства других организаций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Млн. рублей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8400,00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8450,00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8600,00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8750,00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8620,00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8800,00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8950,00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9000,00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9150,00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9350,00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Бюджетные средства,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Млн. рублей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7060,00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7275,00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7427,00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7528,00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7560,00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7785,00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8540,00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8845,00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9200,00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9500,00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Млн. рублей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5400,00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5550,00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5650,00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5700,00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5680,00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5850,00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6500,00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6750,00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6950,00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7000,00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бюджеты субъектов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Млн. рублей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1600,00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1650,00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1700,00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1750,00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1800,00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1850,00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1950,00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2000,00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2150,00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2350,00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местные бюджеты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Млн. рублей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60,00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75,00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77,00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78,00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80,00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85,00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90,00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95,00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100,00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150,00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302"/>
        </w:trPr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Млн. рублей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2565,95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3413,74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3554,18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3600,26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4012,88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4473,31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4151,96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5191,09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6133,15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6069,42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30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Ввод в действие основных фондов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Млн. рублей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0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Коэффициент обновления основных фондов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0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Полная учетная стоимость основных фондов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Млн. рублей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0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Степень износа основных фондов 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0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Стоимость амортизируемого имущества 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  <w:p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на начало года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Млн. рублей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0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Сумма амортизации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Млн. рублей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13"/>
            <w:tcW w:w="1431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10. Консолидированный бюджет субъекта Российской Федерации</w: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Доходы консолидированного бюджета субъекта Российской Федерации</w:t>
            </w:r>
            <w:r>
              <w:rPr>
                <w:bCs/>
                <w:iCs/>
                <w:sz w:val="22"/>
                <w:szCs w:val="22"/>
              </w:rPr>
            </w:r>
            <w:r>
              <w:rPr>
                <w:bCs/>
                <w:iCs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Млн. рублей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22674,3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2 084,3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22761,8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20433,5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21989,7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20612,7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22298,4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Налоговые и неналоговые доходы, всего</w:t>
            </w:r>
            <w:r>
              <w:rPr>
                <w:bCs/>
                <w:iCs/>
                <w:sz w:val="22"/>
                <w:szCs w:val="22"/>
              </w:rPr>
            </w:r>
            <w:r>
              <w:rPr>
                <w:bCs/>
                <w:iCs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Млн. рублей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12587,2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12539,1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14216,6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12776,5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14332,7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12955,7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14641,4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61"/>
        </w:trPr>
        <w:tc>
          <w:tcPr>
            <w:tcW w:w="3685" w:type="dxa"/>
            <w:textDirection w:val="lrTb"/>
            <w:noWrap w:val="false"/>
          </w:tcPr>
          <w:p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Налоговые доходы консолидированного бюджета субъекта Российской Федерации, всего, в том числе:</w:t>
            </w:r>
            <w:r>
              <w:rPr>
                <w:bCs/>
                <w:iCs/>
                <w:sz w:val="22"/>
                <w:szCs w:val="22"/>
              </w:rPr>
            </w:r>
            <w:r>
              <w:rPr>
                <w:bCs/>
                <w:iCs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Млн. рублей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11848,7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11791,8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13323,1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12014,2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13 420,3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12181,2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13709,9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прибыль организаций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1841,7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1528,6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1747,3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1531,6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1553,5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1546,9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1600,1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5237,3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5357,8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6441,9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5486,3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6609,4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5590,6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6794,5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добычу полезных ископаемых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426,5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409,4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432,5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413,5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441,6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418,1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453,9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акцизы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1172,9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1493,4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1493,4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1540,2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1540,2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1540,2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1540,2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налог, взимаемый в связи с применением упрощенной системы налогообложения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737,6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747,9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847,8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762,9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865,6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780,4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880,3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имущество физических лиц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101,7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102,8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имущество организаций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2018,1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1836,5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1928,2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1854,8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1968,7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1873,4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1992,3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игорный бизнес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транспортный налог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179,2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180,9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189,9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191,8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184,6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193,7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налог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49,9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49,9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50,4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50,4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51,2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50,9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52,3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Неналоговые доходы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738,5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747,3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893,5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762,3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912,4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774,5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931,5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Безвозмездные поступления, всего,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10087,1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8545,2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8545,2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7657,0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7657,0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7657,0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7657,0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из федерального бюджета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5506,8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5786,4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5786,4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4745,1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4745,1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4745,1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4745,1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из федерального бюджета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610,7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566,7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566,7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551,6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551,6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551,6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551,6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дотации из федерального бюджета,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3805,9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2045,9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2045,9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2183,9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2183,9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2183,9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2183,9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дотации на выравнивание бюджетной обеспеченности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2846,6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2045,9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2045,9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2 183,9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2 183,9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2 183,9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2 183,9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консолидированного бюджета субъекта Российской Федерации, всего, в том числе по направлениям: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23388,1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21649,0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23326,5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20952,6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22 508,8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21131,8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22817,5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общегосударственные вопросы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2177,9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2219,9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2387,6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2203,7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2374,9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2205,6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2408,9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национальная оборона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22,5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28,6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28,6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28,8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28,9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национальная безопасность и правоохранительная деятельность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339,8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257,0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273,7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235,7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261,3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237,5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264,4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национальная экономика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4166,0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4673,5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4773,5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3724,9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4005,0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3757,2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4060,6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жилищно-коммунальное хозяйство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3138,9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1835,3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2317,4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1775,9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2250,4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1790,2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2281,3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охрана окружающей среды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64,7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40,1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41,7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39,9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41,5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40,3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42,1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5878,0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5453,3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5872,7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5587,1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6007,3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5655,0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6092,5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культура, кинематография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653,2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509,4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542,9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871,0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871,0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878,2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883,3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здравоохранение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1149,8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1233,7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1174,5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1085,8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1189,9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социальная политика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5174,8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4902,5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5271,6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4677,6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4747,6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4717,0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4812,4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и спорт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152,3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517,8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517,8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443,0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456,8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446,6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463,0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массовой информации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28,6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28,2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29,7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27,3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28,8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28,5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29,1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обслуживание государственного и муниципального долга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179,7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228,7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228,7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289,2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289,2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289,2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289,2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Дефицит (-), профицит (+) консолидированного бюджета субъекта Российской Федерации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-713,8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-564,7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-564,7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-519,1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-519,1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-519,1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-519,1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долг субъекта Российской Федерации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8376,4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8145,7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8145,7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7772,8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7772,8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7015,9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7015,9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долг муниципальных образований, входящих в состав субъекта Российской Федерации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1054,8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1030,0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1030,0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1075,9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1075,9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1124,5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1124,5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Прибыль прибыльных организаций для целей бухгалтерского учета</w: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рублей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Темп роста прибыли прибыльных организаций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  <w:p>
            <w:pPr>
              <w:pStyle w:val="9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для целей бухгалтерского учета</w: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к предыдущему году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13"/>
            <w:tcW w:w="1431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11. Денежные доходы населения</w: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Реальные располагаемые денежные доходы населения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предыдущему году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102,50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101,20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102,50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104,51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101,50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102,70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104,29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101,50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102,90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104,27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1262"/>
        </w:trPr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Прожиточный минимум в среднем на душу населения (в среднем за год), в том числе по основным социально-демографическим группам населения: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Руб./месяц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20185,00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22166,00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22166,00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22166,00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24600,00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24961,00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24961,00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18"/>
                <w:szCs w:val="18"/>
                <w:u w:val="none"/>
                <w:vertAlign w:val="baseline"/>
              </w:rPr>
              <w:t xml:space="preserve">26373,00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27169,00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27169,00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трудоспособного населения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Руб./месяц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22002,00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24161,00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24161,00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24161,00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26814,00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27707,00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27707,00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18"/>
                <w:szCs w:val="18"/>
                <w:u w:val="none"/>
                <w:vertAlign w:val="baseline"/>
              </w:rPr>
              <w:t xml:space="preserve">28747,00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29614,00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29614,00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пенсионеров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Руб./месяц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17359,00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19063,00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19063,00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19063,00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21156,00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21466,00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21466,00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18"/>
                <w:szCs w:val="18"/>
                <w:u w:val="none"/>
                <w:vertAlign w:val="baseline"/>
              </w:rPr>
              <w:t xml:space="preserve">22681,00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23365,00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23365,00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Руб./месяц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20301,00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21501,00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21501,00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21501,00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23862,00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24212,00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24212,00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18"/>
                <w:szCs w:val="18"/>
                <w:u w:val="none"/>
                <w:vertAlign w:val="baseline"/>
              </w:rPr>
              <w:t xml:space="preserve">25582,00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26354,00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26354,00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920"/>
        </w:trPr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населения с денежными доходами ниже прожиточного минимума к общей численности населения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16,70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17,00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16,10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16,10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16,50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15,50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14,90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16,00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14,70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13,80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13"/>
            <w:tcW w:w="14315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12. Труд и занятость</w: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рабочей силы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человек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74,70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72,70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75,13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75,98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72,44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75,56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77,08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72,24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75,92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78,12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Номинальная начисленная среднемесячная заработная плата работников организаций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75672,28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80061,27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81822,78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82861,15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83984,30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88167,90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90981,50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18"/>
                <w:szCs w:val="18"/>
                <w:u w:val="none"/>
                <w:vertAlign w:val="baseline"/>
              </w:rPr>
              <w:t xml:space="preserve">88183,50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94703,50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18"/>
                <w:szCs w:val="18"/>
                <w:u w:val="none"/>
                <w:vertAlign w:val="baseline"/>
              </w:rPr>
              <w:t xml:space="preserve">100261,70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Темп роста номинальной начисленной среднемесячной заработной платы работников организаций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к предыдущему году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114,98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105,80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108,13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109,50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4,90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107,75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109,80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105,00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107,41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110,20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Среднемесячная начисленная заработная плата наемных работников в организациях, у индивидуальных предпринимателей и физических </w:t>
            </w:r>
            <w:r>
              <w:rPr>
                <w:rFonts w:ascii="Times New Roman" w:hAnsi="Times New Roman" w:cs="Times New Roman"/>
              </w:rPr>
              <w:t xml:space="preserve">лиц (среднемесячный доход от трудовой деятельности)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60908,00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64440,40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65858,20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66694,00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67598,00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70965,40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73230,00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18"/>
                <w:szCs w:val="18"/>
                <w:u w:val="none"/>
                <w:vertAlign w:val="baseline"/>
              </w:rPr>
              <w:t xml:space="preserve">70977,90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76225,80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80699,50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Темп роста среднемесячной начисленной заработной платы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к предыдущему году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115,00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105,80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108,10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109,50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104,90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107,80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109,80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105,00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107,40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110,20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794"/>
        </w:trPr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Реальная заработная плата работников организаций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к предыдущему году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106,54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100,57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103,48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104,77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100,38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103,36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9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105,28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100,57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103,05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105,69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506"/>
        </w:trPr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Индекс производительности труда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96,39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101,20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102,75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103,76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101,72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102,84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103,34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103,18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105,17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105,25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безработицы (по методологии МОТ)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рабочей силе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3,17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3,71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3,15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3,10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3,71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3,11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3,03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3,74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3,06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2,97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зарегистрированной безработицы (на конец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0,80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0,85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0,77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0,71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0,84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0,74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0,67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0,83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0,73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0,64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численность безработных (по методологии МОТ)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человек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2,37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2,70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2,37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2,36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2,70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2,35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2,34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2,70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2,32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2,32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1162"/>
        </w:trPr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безработных, зарегистрированных в государственных учреждениях службы занятости населения (на конец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человек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0,60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0,62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0,60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0,54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0,60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0,56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0,52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0,60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0,55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0,50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793"/>
        </w:trPr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 заработной платы работников организаций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Млн. рублей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36905,67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38655,74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40127,20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40815,83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40557,98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43407,16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44881,98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42594,40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46823,67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49720,48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847"/>
        </w:trPr>
        <w:tc>
          <w:tcPr>
            <w:tcW w:w="368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Темп роста фонда заработной платы работников организаций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 предыдущему году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115,60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104,70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108,70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110,60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104,90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108,20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110,00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105,00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107,90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110,80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</w:tbl>
    <w:p>
      <w:r/>
      <w:r/>
    </w:p>
    <w:p>
      <w:pPr>
        <w:sectPr>
          <w:footnotePr/>
          <w:endnotePr/>
          <w:type w:val="continuous"/>
          <w:pgSz w:w="16838" w:h="11906" w:orient="landscape"/>
          <w:pgMar w:top="1134" w:right="850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jc w:val="center"/>
        <w:rPr>
          <w:bCs/>
          <w:color w:val="000000"/>
        </w:rPr>
      </w:pPr>
      <w:r>
        <w:rPr>
          <w:bCs/>
          <w:color w:val="000000"/>
        </w:rPr>
        <w:t xml:space="preserve">Пояснительная записка к прогнозу </w:t>
      </w:r>
      <w:r>
        <w:rPr>
          <w:bCs/>
          <w:color w:val="000000"/>
        </w:rPr>
      </w:r>
      <w:r>
        <w:rPr>
          <w:bCs/>
          <w:color w:val="000000"/>
        </w:rPr>
      </w:r>
    </w:p>
    <w:p>
      <w:pPr>
        <w:jc w:val="center"/>
        <w:rPr>
          <w:bCs/>
          <w:color w:val="000000"/>
        </w:rPr>
      </w:pPr>
      <w:r>
        <w:rPr>
          <w:bCs/>
          <w:color w:val="000000"/>
        </w:rPr>
        <w:t xml:space="preserve">социально-экономического развития Еврейской автономной области</w:t>
      </w:r>
      <w:r>
        <w:rPr>
          <w:bCs/>
          <w:color w:val="000000"/>
        </w:rPr>
      </w:r>
      <w:r>
        <w:rPr>
          <w:bCs/>
          <w:color w:val="000000"/>
        </w:rPr>
      </w:r>
    </w:p>
    <w:p>
      <w:pPr>
        <w:jc w:val="center"/>
        <w:rPr>
          <w:bCs/>
          <w:color w:val="000000"/>
        </w:rPr>
      </w:pPr>
      <w:r>
        <w:rPr>
          <w:bCs/>
          <w:color w:val="000000"/>
        </w:rPr>
        <w:t xml:space="preserve">на 2025 год и на плановый период 2026 и 2027 годов</w:t>
      </w:r>
      <w:r>
        <w:rPr>
          <w:bCs/>
          <w:color w:val="000000"/>
        </w:rPr>
      </w:r>
      <w:r>
        <w:rPr>
          <w:bCs/>
          <w:color w:val="000000"/>
        </w:rPr>
      </w:r>
    </w:p>
    <w:p>
      <w:pPr>
        <w:jc w:val="center"/>
        <w:rPr>
          <w:bCs/>
          <w:color w:val="000000"/>
        </w:rPr>
      </w:pPr>
      <w:r>
        <w:rPr>
          <w:bCs/>
          <w:color w:val="000000"/>
        </w:rPr>
      </w:r>
      <w:r>
        <w:rPr>
          <w:bCs/>
          <w:color w:val="000000"/>
        </w:rPr>
      </w:r>
      <w:r>
        <w:rPr>
          <w:bCs/>
          <w:color w:val="000000"/>
        </w:rPr>
      </w:r>
    </w:p>
    <w:p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Прогноз социально-эко</w:t>
      </w:r>
      <w:r>
        <w:rPr>
          <w:szCs w:val="28"/>
          <w:highlight w:val="white"/>
        </w:rPr>
        <w:t xml:space="preserve">номического развития Еврейской автономной области на 2025 год и на плановый период 2026 и 2027 годов разработан во исполнение постановления правительства Еврейской автономной области      от 02.06.2015 № 247-пп «Об утверждении Порядка разработки, корректир</w:t>
      </w:r>
      <w:r>
        <w:rPr>
          <w:szCs w:val="28"/>
          <w:highlight w:val="white"/>
        </w:rPr>
        <w:t xml:space="preserve">овки, осуществления мониторинга и контроля реализации прогноза социально-экономического развития Еврейской автономной области на среднесрочный период» с учетом доведенных основных параметров прогноза социально-экономического развития Российской Федерации. 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90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Основные показатели прогноза социально-экономического развития Еврейской автономной области на 2025 год и плановый период 2026 и 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2027 годов (далее – прогноз) разработаны с учетом предложений органов исполнительной власти Еврейской автономной области, формируемых правительством Еврейской автономной области (далее – область), перспективных планов хозяйствующих субъектов области и дру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гих данных, представленных участниками разработки прогноза, на основе анализа складывающейся социально-экономической ситуации в области, с учетом внешних условий и рисков, предполагаемого осуществления инвестиционных проектов на территории области. Также у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чтены программные мероприятия, предусмотренные государственными программами Российской Федерации и государственными программами области,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итоги социально-экономического развития области за январь – сентябрь 2024 года, итоги реализации региональных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проектов области в рамках национальных проектов (программ) в соответствии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 Указом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– региональные проекты области, реализуемые в рамках национальных проектов (программ).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41"/>
        <w:ind w:firstLine="709"/>
        <w:jc w:val="both"/>
        <w:spacing w:line="240" w:lineRule="auto"/>
        <w:shd w:val="clear" w:color="auto" w:fill="auto"/>
        <w:tabs>
          <w:tab w:val="left" w:pos="946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Прогноз социально-экономического развития области представлен в трех вариантах: 1-й вариант – консервативный; 2-й вариант –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базовый;  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                      3-й вариант – целевой.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center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</w:r>
      <w:r>
        <w:rPr>
          <w:color w:val="000000"/>
          <w:szCs w:val="28"/>
          <w:highlight w:val="white"/>
        </w:rPr>
      </w:r>
      <w:r>
        <w:rPr>
          <w:color w:val="000000"/>
          <w:szCs w:val="28"/>
          <w:highlight w:val="white"/>
        </w:rPr>
      </w:r>
    </w:p>
    <w:p>
      <w:pPr>
        <w:jc w:val="center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 xml:space="preserve">Основные показатели прогноза социально-экономического развития </w:t>
      </w:r>
      <w:r>
        <w:rPr>
          <w:color w:val="000000"/>
          <w:szCs w:val="28"/>
          <w:highlight w:val="white"/>
        </w:rPr>
      </w:r>
      <w:r>
        <w:rPr>
          <w:color w:val="000000"/>
          <w:szCs w:val="28"/>
          <w:highlight w:val="white"/>
        </w:rPr>
      </w:r>
    </w:p>
    <w:p>
      <w:pPr>
        <w:jc w:val="center"/>
        <w:rPr>
          <w:bCs/>
          <w:color w:val="000000"/>
          <w:szCs w:val="28"/>
          <w:highlight w:val="white"/>
        </w:rPr>
      </w:pPr>
      <w:r>
        <w:rPr>
          <w:bCs/>
          <w:color w:val="000000"/>
          <w:szCs w:val="28"/>
          <w:highlight w:val="white"/>
        </w:rPr>
      </w:r>
      <w:r>
        <w:rPr>
          <w:bCs/>
          <w:color w:val="000000"/>
          <w:szCs w:val="28"/>
          <w:highlight w:val="white"/>
        </w:rPr>
      </w:r>
      <w:r>
        <w:rPr>
          <w:bCs/>
          <w:color w:val="000000"/>
          <w:szCs w:val="28"/>
          <w:highlight w:val="white"/>
        </w:rPr>
      </w:r>
    </w:p>
    <w:p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szCs w:val="28"/>
          <w:highlight w:val="white"/>
        </w:rPr>
        <w:t xml:space="preserve">Численность населения области к 2026 году составит 139,06 тыс. человек (по базовому варианту прогноза).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709"/>
        <w:jc w:val="both"/>
        <w:rPr>
          <w:color w:val="000000"/>
          <w:highlight w:val="white"/>
        </w:rPr>
      </w:pPr>
      <w:r>
        <w:rPr>
          <w:szCs w:val="28"/>
          <w:highlight w:val="white"/>
        </w:rPr>
        <w:t xml:space="preserve">В плановом периоде 2024 – 2026 годов </w:t>
      </w:r>
      <w:r>
        <w:rPr>
          <w:color w:val="000000"/>
          <w:szCs w:val="28"/>
          <w:highlight w:val="white"/>
        </w:rPr>
        <w:t xml:space="preserve">прогнозируется сокращение общего коэффициента смертности с 15,17 в 2022 году до 11,84 в 2026 году </w:t>
      </w:r>
      <w:r>
        <w:rPr>
          <w:szCs w:val="28"/>
          <w:highlight w:val="white"/>
        </w:rPr>
        <w:t xml:space="preserve">в результате реализации региональных проектов области, реализуемых в рамках национальных проектов (программ)</w:t>
      </w:r>
      <w:r>
        <w:rPr>
          <w:highlight w:val="white"/>
        </w:rPr>
        <w:t xml:space="preserve">.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709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 xml:space="preserve">Ожидается ежегодное улучшение показателя «миграционный прирост (убыль)» населения, к 2026 году миграционный прирост прогнозируется на уровне 0,06 тыс. человек (по базовому варианту прогноза).</w:t>
      </w:r>
      <w:r>
        <w:rPr>
          <w:color w:val="000000"/>
          <w:szCs w:val="28"/>
          <w:highlight w:val="white"/>
        </w:rPr>
      </w:r>
      <w:r>
        <w:rPr>
          <w:color w:val="000000"/>
          <w:szCs w:val="28"/>
          <w:highlight w:val="white"/>
        </w:rPr>
      </w:r>
    </w:p>
    <w:p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Объем валового регионального продукта (далее – ВРП) в 2022 году, по предварительной оценке, составил 86,6 млрд. рублей, или 102,3 процента       в сопоставимых ценах к уровню предыдущего года.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В 2023 году ВРП составит 94,4 млрд. рублей, или 102,6 процента (в сопоставимых ценах) к уровню предыдущего года. 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Ожидаемый рост ВРП к </w:t>
      </w:r>
      <w:r>
        <w:rPr>
          <w:szCs w:val="28"/>
          <w:highlight w:val="white"/>
        </w:rPr>
        <w:t xml:space="preserve">2026 году составит 15,1 процента к уровню             2022 года, или 121,4 млрд. рублей (по базовому варианту прогноза). Рост ВРП обеспечат перспективные для области направления деятельности: горнодобывающая промышленность, агропромышленный и лесной компле</w:t>
      </w:r>
      <w:r>
        <w:rPr>
          <w:szCs w:val="28"/>
          <w:highlight w:val="white"/>
        </w:rPr>
        <w:t xml:space="preserve">ксы, туристическая сфера, производство строительных материалов. В структуре ВРП области доминирующими видами экономической деятельности будут транспортировка и хранение, горнодобывающая отрасль и строительство. Их удельный вес составит более 47,0 процента.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jc w:val="both"/>
        <w:rPr>
          <w:color w:val="000000"/>
          <w:szCs w:val="28"/>
        </w:rPr>
      </w:pPr>
      <w:r/>
      <w:bookmarkStart w:id="0" w:name="_Hlk115884662"/>
      <w:r>
        <w:rPr>
          <w:color w:val="000000"/>
          <w:szCs w:val="28"/>
          <w:lang w:eastAsia="en-US"/>
        </w:rPr>
        <w:t xml:space="preserve">Сводный индекс промышленного производства области по итогам              20</w:t>
      </w:r>
      <w:r>
        <w:rPr>
          <w:color w:val="000000"/>
          <w:szCs w:val="28"/>
          <w:lang w:eastAsia="en-US"/>
        </w:rPr>
        <w:t xml:space="preserve">23 года в сопоставимой оценке составил 94,3 процента. Объем отгруженных товаров собственного производства, выполненных работ и услуг в добывающих и обрабатывающих производствах, в сферах электроэнергетики и водоснабжения области составил 39,7 млрд. рублей.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709"/>
        <w:jc w:val="both"/>
        <w:rPr>
          <w:szCs w:val="28"/>
        </w:rPr>
      </w:pPr>
      <w:r/>
      <w:bookmarkStart w:id="1" w:name="_Hlk115882090"/>
      <w:r>
        <w:rPr>
          <w:szCs w:val="28"/>
        </w:rPr>
        <w:t xml:space="preserve">В структуре промышленного производства области доля добычи полезных ископаемых составляла 64,7 процента; на долю обрабатывающей промышленности приходилось 16,2 процента; по видам экономической дея</w:t>
      </w:r>
      <w:r>
        <w:rPr>
          <w:szCs w:val="28"/>
        </w:rPr>
        <w:t xml:space="preserve">тельности: «обеспечение электрической энергией, газом и паром; кондиционирование воздуха» и «водоснабжение; водоотведение, организация сбора и утилизации отходов» – соответственно 15,4 процента и 3,7 процента от объема всей отгруженной продукции в области.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color w:val="000000"/>
          <w:szCs w:val="28"/>
        </w:rPr>
      </w:pPr>
      <w:r/>
      <w:bookmarkStart w:id="2" w:name="_Hlk115884755"/>
      <w:r/>
      <w:bookmarkEnd w:id="0"/>
      <w:r/>
      <w:bookmarkEnd w:id="1"/>
      <w:r>
        <w:rPr>
          <w:color w:val="000000"/>
          <w:szCs w:val="28"/>
          <w:lang w:eastAsia="en-US"/>
        </w:rPr>
        <w:t xml:space="preserve">В 2024 году сводный индекс промышленного производства в области составит 100,5 процента. 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709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Сводный индекс промышленного производства по виду экономич</w:t>
      </w:r>
      <w:r>
        <w:rPr>
          <w:color w:val="000000"/>
          <w:szCs w:val="28"/>
          <w:lang w:eastAsia="en-US"/>
        </w:rPr>
        <w:t xml:space="preserve">еской деятельности «добыча полезных ископаемых» составит 100,2 процента.          В настоящее время ООО «Кимкано-сутарский горно-обогатительный комбинат» (далее – Кимкано-Сутарский ГОК) является крупнейшим предприятием области. Численность работников – бол</w:t>
      </w:r>
      <w:r>
        <w:rPr>
          <w:color w:val="000000"/>
          <w:szCs w:val="28"/>
          <w:lang w:eastAsia="en-US"/>
        </w:rPr>
        <w:t xml:space="preserve">ее 1,5 тыс. человек.               В месяц предприятие отгружает более 200 тыс. тонн продукции. Полная мощность предприятия составляет 3,2 млн. тонн железорудного концентрата в год. Наибольший объем товарной продукции поставляется российским потребителям. </w:t>
      </w:r>
      <w:r>
        <w:rPr>
          <w:color w:val="000000"/>
          <w:szCs w:val="28"/>
          <w:lang w:eastAsia="en-US"/>
        </w:rPr>
      </w:r>
      <w:r>
        <w:rPr>
          <w:color w:val="000000"/>
          <w:szCs w:val="28"/>
          <w:lang w:eastAsia="en-US"/>
        </w:rPr>
      </w:r>
    </w:p>
    <w:p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текущем году ООО «Дальграфит» – дочерняя компания </w:t>
      </w:r>
      <w:r>
        <w:rPr>
          <w:color w:val="000000"/>
          <w:szCs w:val="28"/>
        </w:rPr>
        <w:br/>
        <w:t xml:space="preserve">ООО «Группа «Магнезит», осуществляющая проект «Освоение Тополихинск</w:t>
      </w:r>
      <w:r>
        <w:rPr>
          <w:color w:val="000000"/>
          <w:szCs w:val="28"/>
        </w:rPr>
        <w:t xml:space="preserve">ого участка Союзного месторождения графита в Еврейской автономной области», планирует ввести в эксплуатацию горно-обогатительное предприятие по производству кристаллического графита с проектной мощностью 40,0 тыс. тонн графитового концентрата в год (выход </w:t>
      </w:r>
      <w:r>
        <w:rPr>
          <w:color w:val="000000"/>
          <w:szCs w:val="28"/>
        </w:rPr>
        <w:t xml:space="preserve">предприятия на проектную мощность запланирован на 2025 год). Планируется реализация полного производственного цикла от доб</w:t>
      </w:r>
      <w:r>
        <w:rPr>
          <w:color w:val="000000"/>
          <w:szCs w:val="28"/>
        </w:rPr>
        <w:t xml:space="preserve">ычи и обогащения руды, ее транспортировки и до создания высокотехнологичного производства по механической обработке графита, выпуску компонентов для аккумуляторных батарей и других видов продукции. Добыча и переработка сырья рассчитаны на ближайшие 60 лет.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709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В 2025 году запланирован ввод 2-й очереди Кимкано-Сутарского         ГОКа (вовлечение в производственный процесс Сутарского железорудного месторождения),</w:t>
      </w:r>
      <w:r>
        <w:t xml:space="preserve"> </w:t>
      </w:r>
      <w:r>
        <w:rPr>
          <w:color w:val="000000"/>
          <w:szCs w:val="28"/>
          <w:lang w:eastAsia="en-US"/>
        </w:rPr>
        <w:t xml:space="preserve">что позволит существенно увеличить ресурсную базу предприятия и увеличить срок его работы еще на несколько десятилетий, а также создать более 200 новых рабочих мест.</w:t>
      </w:r>
      <w:bookmarkEnd w:id="2"/>
      <w:r>
        <w:rPr>
          <w:color w:val="000000"/>
          <w:szCs w:val="28"/>
          <w:lang w:eastAsia="en-US"/>
        </w:rPr>
      </w:r>
      <w:r>
        <w:rPr>
          <w:color w:val="000000"/>
          <w:szCs w:val="28"/>
          <w:lang w:eastAsia="en-US"/>
        </w:rPr>
      </w:r>
    </w:p>
    <w:p>
      <w:pPr>
        <w:ind w:firstLine="709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В 202</w:t>
      </w:r>
      <w:r>
        <w:rPr>
          <w:color w:val="000000"/>
          <w:szCs w:val="28"/>
          <w:lang w:eastAsia="en-US"/>
        </w:rPr>
        <w:t xml:space="preserve">5 году планируется начало промышленной добычи брусита на базе Савкинского месторождения, расположенного в Октябрьском районе Еврейской автономной области. Месторождение считается крупнейшим известным в мире по запасам руды с подтвержденными запасами около </w:t>
      </w:r>
      <w:r>
        <w:rPr>
          <w:color w:val="000000"/>
          <w:szCs w:val="28"/>
          <w:lang w:eastAsia="en-US"/>
        </w:rPr>
        <w:br/>
        <w:t xml:space="preserve">40 млн. тонн. Ожидаемый срок эксплуатации Савкинского месторождения составит 50 лет. Планируется создать 180 рабочих мест.</w:t>
      </w:r>
      <w:r>
        <w:rPr>
          <w:color w:val="000000"/>
          <w:szCs w:val="28"/>
          <w:lang w:eastAsia="en-US"/>
        </w:rPr>
      </w:r>
      <w:r>
        <w:rPr>
          <w:color w:val="000000"/>
          <w:szCs w:val="28"/>
          <w:lang w:eastAsia="en-US"/>
        </w:rPr>
      </w:r>
    </w:p>
    <w:p>
      <w:pPr>
        <w:ind w:firstLine="709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Таким образом, рост индекса промышленного производства по виду деятельности «добыча полезных ископаемых» в 2027 году составит </w:t>
      </w:r>
      <w:r>
        <w:rPr>
          <w:color w:val="000000"/>
          <w:szCs w:val="28"/>
          <w:lang w:eastAsia="en-US"/>
        </w:rPr>
        <w:br/>
        <w:t xml:space="preserve">6,6 процента к уровню 2026 года и 15,2 процента к уровню 2023 года (по базовому варианту прогноза).</w:t>
      </w:r>
      <w:r>
        <w:rPr>
          <w:color w:val="000000"/>
          <w:szCs w:val="28"/>
          <w:lang w:eastAsia="en-US"/>
        </w:rPr>
      </w:r>
      <w:r>
        <w:rPr>
          <w:color w:val="000000"/>
          <w:szCs w:val="28"/>
          <w:lang w:eastAsia="en-US"/>
        </w:rPr>
      </w:r>
    </w:p>
    <w:p>
      <w:pPr>
        <w:ind w:firstLine="709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В 2024 году индекс промышленного производства по виду деятельности «обрабатывающие производства» оценивается на уровне               100,1 процента.</w:t>
      </w:r>
      <w:r>
        <w:rPr>
          <w:color w:val="000000"/>
          <w:szCs w:val="28"/>
          <w:lang w:eastAsia="en-US"/>
        </w:rPr>
      </w:r>
      <w:r>
        <w:rPr>
          <w:color w:val="000000"/>
          <w:szCs w:val="28"/>
          <w:lang w:eastAsia="en-US"/>
        </w:rPr>
      </w:r>
    </w:p>
    <w:p>
      <w:pPr>
        <w:ind w:firstLine="709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В 2025 году планируются к завершению работы по созданию высокотехнологичного лесопромышленного предприятия ООО «ВТК Инвест» в результате чего, инде</w:t>
      </w:r>
      <w:r>
        <w:rPr>
          <w:color w:val="000000"/>
          <w:szCs w:val="28"/>
          <w:lang w:eastAsia="en-US"/>
        </w:rPr>
        <w:t xml:space="preserve">кс пром</w:t>
      </w:r>
      <w:r>
        <w:rPr>
          <w:color w:val="000000"/>
          <w:szCs w:val="28"/>
          <w:lang w:eastAsia="en-US"/>
        </w:rPr>
        <w:t xml:space="preserve">ышленного производства по виду деятельности «Обработка древесины и производство изделий из дерева и пробки, кроме мебели, производство изделий из соломки и материалов для плетения» составит 102,8 процента к уровню 2024 года (по базовому варианту прогноза).</w:t>
      </w:r>
      <w:r>
        <w:rPr>
          <w:color w:val="000000"/>
          <w:szCs w:val="28"/>
          <w:lang w:eastAsia="en-US"/>
        </w:rPr>
      </w:r>
      <w:r>
        <w:rPr>
          <w:color w:val="000000"/>
          <w:szCs w:val="28"/>
          <w:lang w:eastAsia="en-US"/>
        </w:rPr>
      </w:r>
    </w:p>
    <w:p>
      <w:pPr>
        <w:ind w:firstLine="709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В среднесрочном периоде предприятия обрабатывающ</w:t>
      </w:r>
      <w:r>
        <w:rPr>
          <w:color w:val="000000"/>
          <w:szCs w:val="28"/>
          <w:lang w:eastAsia="en-US"/>
        </w:rPr>
        <w:t xml:space="preserve">ей промышленности области сохранят стабильность производства с учетом поддержания уже существующей базы. В 2027 году индекс промышленного производства обрабатывающей промышленности составит 103,8 процента к уровню 2023 года (по базовому варианту прогноза).</w:t>
      </w:r>
      <w:r>
        <w:rPr>
          <w:color w:val="000000"/>
          <w:szCs w:val="28"/>
          <w:lang w:eastAsia="en-US"/>
        </w:rPr>
      </w:r>
      <w:r>
        <w:rPr>
          <w:color w:val="000000"/>
          <w:szCs w:val="28"/>
          <w:lang w:eastAsia="en-US"/>
        </w:rPr>
      </w:r>
    </w:p>
    <w:p>
      <w:pPr>
        <w:ind w:firstLine="709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Прогноз индекса промышленного производства по виду деятельности «обеспечение электрической энергией, газом и паром; кондиционирование воздуха» выполнен исходя из прогнозируемого роста выраб</w:t>
      </w:r>
      <w:r>
        <w:rPr>
          <w:color w:val="000000"/>
          <w:szCs w:val="28"/>
          <w:lang w:eastAsia="en-US"/>
        </w:rPr>
        <w:t xml:space="preserve">отки электрической энергии с учетом ввода новых мощностей и предполагаемого более интенсивного развития производства на территории области. К концу 2027 года прирост данного индекса к уровню 2023 года составит 15,2 процента (по базовому варианту прогноза).</w:t>
      </w:r>
      <w:r>
        <w:rPr>
          <w:color w:val="000000"/>
          <w:szCs w:val="28"/>
          <w:lang w:eastAsia="en-US"/>
        </w:rPr>
      </w:r>
      <w:r>
        <w:rPr>
          <w:color w:val="000000"/>
          <w:szCs w:val="28"/>
          <w:lang w:eastAsia="en-US"/>
        </w:rPr>
      </w:r>
    </w:p>
    <w:p>
      <w:pPr>
        <w:ind w:firstLine="709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В прогнозном периоде 2025 – 2027 годов рост индекса промышленного производства по виду деятельности «водоснабжение; водоотведение, </w:t>
      </w:r>
      <w:r>
        <w:rPr>
          <w:color w:val="000000"/>
          <w:szCs w:val="28"/>
          <w:lang w:eastAsia="en-US"/>
        </w:rPr>
        <w:t xml:space="preserve">организация сбора и утилизации отходов, деятельность по ликвидации загрязнений» составит 10,4 процента к уровню 2023 года (по базовому варианту прогноза). В среднесрочной перс</w:t>
      </w:r>
      <w:r>
        <w:rPr>
          <w:color w:val="000000"/>
          <w:szCs w:val="28"/>
          <w:lang w:eastAsia="en-US"/>
        </w:rPr>
        <w:t xml:space="preserve">пективе тенденцию развития данного направления будут определять осуществляемая предприятиями модернизация и реконструкция водопроводных и канализационных сетей, очистных сооружений, увеличение объемов сбора и переработки отходов производства и потребления.</w:t>
      </w:r>
      <w:r>
        <w:rPr>
          <w:color w:val="000000"/>
          <w:szCs w:val="28"/>
          <w:lang w:eastAsia="en-US"/>
        </w:rPr>
      </w:r>
      <w:r>
        <w:rPr>
          <w:color w:val="000000"/>
          <w:szCs w:val="28"/>
          <w:lang w:eastAsia="en-US"/>
        </w:rPr>
      </w:r>
    </w:p>
    <w:p>
      <w:pPr>
        <w:ind w:firstLine="709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Рост сводного индекса промышленного производства в 2027 году к уровню 2023 года составит 14,0 процента (по базовому варианту прогноза).</w:t>
      </w:r>
      <w:r>
        <w:rPr>
          <w:color w:val="000000"/>
          <w:szCs w:val="28"/>
          <w:lang w:eastAsia="en-US"/>
        </w:rPr>
      </w:r>
      <w:r>
        <w:rPr>
          <w:color w:val="000000"/>
          <w:szCs w:val="28"/>
          <w:lang w:eastAsia="en-US"/>
        </w:rPr>
      </w:r>
    </w:p>
    <w:p>
      <w:pPr>
        <w:ind w:firstLine="709"/>
        <w:jc w:val="both"/>
        <w:rPr>
          <w:highlight w:val="white"/>
        </w:rPr>
      </w:pPr>
      <w:r>
        <w:rPr>
          <w:bCs/>
          <w:szCs w:val="28"/>
          <w:highlight w:val="white"/>
        </w:rPr>
        <w:t xml:space="preserve">Динамика развития агропромышленного комплекса области                    до 2027</w:t>
      </w:r>
      <w:r>
        <w:rPr>
          <w:bCs/>
          <w:szCs w:val="28"/>
          <w:highlight w:val="white"/>
        </w:rPr>
        <w:t xml:space="preserve"> года будет формироваться под воздействием разнонаправленных факторов. С одной стороны, скажутся меры, принятые в последние годы, по повышению устойчивости агропромышленного производства, с другой стороны, </w:t>
      </w:r>
      <w:r>
        <w:t xml:space="preserve">сохраняются условия внешнеполитического санкционного давления</w:t>
      </w:r>
      <w:r>
        <w:rPr>
          <w:bCs/>
          <w:szCs w:val="28"/>
          <w:highlight w:val="white"/>
        </w:rPr>
        <w:t xml:space="preserve">, что усиливает вероятность рисков для устойчивого и динамичного развития аграрного сектора экономики.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bCs/>
          <w:szCs w:val="28"/>
          <w:highlight w:val="white"/>
        </w:rPr>
        <w:t xml:space="preserve">В 2024 году индекс производства валовой продукции сельского хозяйства оценивается на уровне 102,51 процента к уровню предыдущего года.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Cs w:val="28"/>
          <w:highlight w:val="white"/>
        </w:rPr>
        <w:t xml:space="preserve">В среднесрочной перспективе за счет увеличения посевных площадей, роста поголовья скота и птицы, а также за счет реализации инвестиционных проектов прогнозируется увеличение производства продукции растениеводства и животноводства.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Cs w:val="28"/>
          <w:highlight w:val="white"/>
        </w:rPr>
        <w:t xml:space="preserve">В 2027 году с</w:t>
      </w:r>
      <w:r>
        <w:rPr>
          <w:szCs w:val="28"/>
          <w:highlight w:val="white"/>
        </w:rPr>
        <w:t xml:space="preserve"> учетом реализации данных мер прирост индекса производства сельскохозяйственной продукции к уровню 2023 года составит 17,8 процента (по базовому варианту</w:t>
      </w:r>
      <w:r>
        <w:rPr>
          <w:szCs w:val="28"/>
          <w:highlight w:val="white"/>
        </w:rPr>
        <w:t xml:space="preserve"> прогноза)</w:t>
      </w:r>
      <w:r>
        <w:rPr>
          <w:szCs w:val="28"/>
          <w:highlight w:val="white"/>
        </w:rPr>
        <w:t xml:space="preserve">. Рост индекса производства продукции растениеводства ожидается на уровне 22,3 процента, прирост животноводческой продукции составит 2,5 процента (по базовому варианту прогноза).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В 2024 году объем выпол</w:t>
      </w:r>
      <w:r>
        <w:rPr>
          <w:szCs w:val="28"/>
          <w:highlight w:val="white"/>
        </w:rPr>
        <w:t xml:space="preserve">ненных работ по виду деятельности «строительство» составит 29 421,8 млн. рублей, или 109,0 процента к уровню 2023 года в сопоставимых ценах, и в 2027 году увеличится на 43,6 процента в сопоставимых ценах к уровню 2024 года (по базовому варианту прогноза). 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contextualSpacing/>
        <w:ind w:firstLine="709"/>
        <w:jc w:val="both"/>
        <w:spacing w:line="240" w:lineRule="auto"/>
        <w:rPr>
          <w:highlight w:val="white"/>
        </w:rPr>
      </w:pPr>
      <w:r>
        <w:rPr>
          <w:sz w:val="28"/>
          <w:szCs w:val="28"/>
          <w:highlight w:val="white"/>
        </w:rPr>
        <w:t xml:space="preserve">Рост данного показателя в прогнозном периоде 2025 – 2027 годов </w:t>
      </w:r>
      <w:r>
        <w:rPr>
          <w:sz w:val="28"/>
          <w:szCs w:val="28"/>
          <w:highlight w:val="white"/>
        </w:rPr>
        <w:t xml:space="preserve">будет </w:t>
      </w:r>
      <w:r>
        <w:rPr>
          <w:sz w:val="28"/>
          <w:szCs w:val="28"/>
          <w:highlight w:val="white"/>
        </w:rPr>
        <w:t xml:space="preserve">связан с реализацией на территории области инвестиционных проектов в сельском хозяйстве, добывающем и транспортном комплексах, обрабатывающей промышленности, в сфере деятельности по обеспечению и распределению электроэнергии, жилищном строительстве.</w:t>
      </w:r>
      <w:r>
        <w:rPr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рамках мероприятий комплексных планов, национальных проектов Еврейской автономной области планируется осуществлять строительство социально значимых и инфраструктурных объектов на тер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ритории муниципальных образований и поселений области.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В 2024 году ожидается, что объем введенного в эксплуатацию жилья составит 32 тыс. кв. м, или 124,5 процента к уровню 2023 года. 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contextualSpacing/>
        <w:ind w:firstLine="709"/>
        <w:jc w:val="both"/>
        <w:rPr>
          <w:highlight w:val="yellow"/>
        </w:rPr>
      </w:pPr>
      <w:r>
        <w:rPr>
          <w:b/>
          <w:bCs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прогнозном периоде 2025 – 2027 годов ожидается прирост объема вводимого жилья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 </w:t>
      </w:r>
      <w:r>
        <w:rPr>
          <w:sz w:val="28"/>
          <w:szCs w:val="28"/>
          <w:highlight w:val="white"/>
        </w:rPr>
        <w:t xml:space="preserve">26,5 </w:t>
      </w:r>
      <w:r>
        <w:rPr>
          <w:sz w:val="28"/>
          <w:szCs w:val="28"/>
          <w:highlight w:val="white"/>
        </w:rPr>
        <w:t xml:space="preserve">процента д</w:t>
      </w:r>
      <w:r>
        <w:rPr>
          <w:sz w:val="28"/>
          <w:szCs w:val="28"/>
          <w:highlight w:val="white"/>
        </w:rPr>
        <w:t xml:space="preserve">о 32,3 </w:t>
      </w:r>
      <w:r>
        <w:rPr>
          <w:sz w:val="28"/>
          <w:szCs w:val="28"/>
          <w:highlight w:val="white"/>
        </w:rPr>
        <w:t xml:space="preserve">процента к у</w:t>
      </w:r>
      <w:r>
        <w:rPr>
          <w:sz w:val="28"/>
          <w:szCs w:val="28"/>
          <w:highlight w:val="white"/>
        </w:rPr>
        <w:t xml:space="preserve">ровню 2023 года (по базовому варианту прогноза).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Рост объемов вводимого жилья планируется обеспечить за счет реализации программы «Дальневосточный квартал». </w:t>
      </w:r>
      <w:r>
        <w:rPr>
          <w:sz w:val="28"/>
          <w:szCs w:val="28"/>
          <w:highlight w:val="white"/>
          <w:lang w:eastAsia="en-US"/>
        </w:rPr>
        <w:t xml:space="preserve">Под комплексную жилую застройку в г. Биробиджане выделены 30 га, до </w:t>
      </w:r>
      <w:r>
        <w:rPr>
          <w:sz w:val="28"/>
          <w:szCs w:val="28"/>
          <w:highlight w:val="white"/>
          <w:lang w:eastAsia="en-US"/>
        </w:rPr>
        <w:br/>
        <w:t xml:space="preserve">2034 года планируется поэтапное введение 176 тыс. кв. м жилья. Проект реализуется в рамках территории опережающего развития «Амуро-Хинганская» (резидент – ООО «ДВ-Регион Инвест»), стоимость проекта – более 20 млрд. рублей.</w:t>
      </w:r>
      <w:r>
        <w:rPr>
          <w:highlight w:val="yellow"/>
        </w:rPr>
      </w:r>
      <w:r>
        <w:rPr>
          <w:highlight w:val="yellow"/>
        </w:rPr>
      </w:r>
    </w:p>
    <w:p>
      <w:pPr>
        <w:pStyle w:val="947"/>
        <w:ind w:firstLine="709"/>
        <w:widowControl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 xml:space="preserve">Инфраструктура розничной торговли в области характеризуется многоформатностью. На территории региона осуществляют деятельность стационарные и нестационарные </w:t>
      </w:r>
      <w:r>
        <w:rPr>
          <w:bCs/>
          <w:sz w:val="28"/>
          <w:szCs w:val="28"/>
          <w:highlight w:val="none"/>
        </w:rPr>
        <w:t xml:space="preserve">торговые объекты, проводятся ярмарочные мероприятия, а также функционируют розничные рынки. При этом в сфере розничной торговли продолжены институциональные изменения, обусловленные сокращением неорганизованной торговли, масштабным развитием федеральных и </w:t>
      </w:r>
      <w:r>
        <w:rPr>
          <w:bCs/>
          <w:color w:val="000000"/>
          <w:sz w:val="28"/>
          <w:szCs w:val="28"/>
          <w:highlight w:val="none"/>
        </w:rPr>
        <w:t xml:space="preserve">локальных розничных сетей, развитием конкуренции между крупными отечественными розничными сетями, внедрением новых форматов торговли, в том числе интернет-торговли.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7"/>
        <w:ind w:firstLine="709"/>
        <w:widowControl/>
        <w:rPr>
          <w:highlight w:val="none"/>
        </w:rPr>
      </w:pPr>
      <w:r>
        <w:rPr>
          <w:sz w:val="28"/>
          <w:szCs w:val="28"/>
          <w:highlight w:val="none"/>
        </w:rPr>
        <w:t xml:space="preserve">В 2024 году оборот розничной торговли за счет увеличения покупательского спроса, по предварительной оценке, составит 46,7 млрд. рублей, или 113,5 процента.</w:t>
      </w:r>
      <w:r>
        <w:rPr>
          <w:highlight w:val="none"/>
        </w:rPr>
      </w:r>
      <w:r>
        <w:rPr>
          <w:highlight w:val="none"/>
        </w:rPr>
      </w:r>
    </w:p>
    <w:p>
      <w:pPr>
        <w:pStyle w:val="947"/>
        <w:ind w:firstLine="709"/>
        <w:widowControl/>
        <w:rPr>
          <w:highlight w:val="none"/>
        </w:rPr>
      </w:pPr>
      <w:r>
        <w:rPr>
          <w:sz w:val="28"/>
          <w:szCs w:val="28"/>
          <w:highlight w:val="none"/>
        </w:rPr>
        <w:t xml:space="preserve">В период с 2025 года по 2027 год прогнозируется постепенный рост оборота розничной торговли как за счет снижения инфляционного давления, так и за счет насыщения рынка товарами отечественных производителей по доступным це</w:t>
      </w:r>
      <w:r>
        <w:rPr>
          <w:sz w:val="28"/>
          <w:szCs w:val="28"/>
          <w:highlight w:val="none"/>
        </w:rPr>
        <w:t xml:space="preserve">нам, а также за счет роста реальных располагаемых доходов населения, стабилизацией в экономике. В 2025 году прогнозируется рост оборота розничной торговли до 50,4 млрд. рублей и до 57,8 млрд. рублей в 2027 году с ростом индекса физического объема за 3 года</w:t>
      </w:r>
      <w:r>
        <w:rPr>
          <w:color w:val="ff0000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 8,9 процента по (по базовому варианту прогноза). </w:t>
      </w:r>
      <w:r>
        <w:rPr>
          <w:highlight w:val="none"/>
        </w:rPr>
      </w:r>
      <w:r>
        <w:rPr>
          <w:highlight w:val="none"/>
        </w:rPr>
      </w:r>
    </w:p>
    <w:p>
      <w:pPr>
        <w:pStyle w:val="947"/>
        <w:ind w:firstLine="709"/>
        <w:widowControl/>
        <w:rPr>
          <w:highlight w:val="none"/>
        </w:rPr>
      </w:pPr>
      <w:r>
        <w:rPr>
          <w:sz w:val="28"/>
          <w:szCs w:val="28"/>
          <w:highlight w:val="none"/>
        </w:rPr>
        <w:t xml:space="preserve">В 2024 году объем оказанных платных услуг прогнозируется в размере 12,9 млрд. рублей, рост показателя к уровню к 2023 года – на 1,3 процента.                С 2025 года по 2027 год прогнозируется планомерный рост объема оказанных платных услуг на</w:t>
      </w:r>
      <w:r>
        <w:rPr>
          <w:sz w:val="28"/>
          <w:szCs w:val="28"/>
          <w:highlight w:val="none"/>
        </w:rPr>
        <w:t xml:space="preserve">селению с 13,9 млрд. рублей в 2025 году                     до 15,8 млрд. рублей в 2027 году с ростом индекса физического объема в сопоставимых ценах на 7,7 процента. Развитию платных услуг, предоставляемых населению, будут способствовать такие факторы, ка</w:t>
      </w:r>
      <w:r>
        <w:rPr>
          <w:sz w:val="28"/>
          <w:szCs w:val="28"/>
          <w:highlight w:val="none"/>
        </w:rPr>
        <w:t xml:space="preserve">к расширение перечня оказываемых услуг, развитие малого предпринимательства, проводимая государственная политика регулирования цен и тарифов на услуги естественных монополий и отдельных отраслей (тарифы на электроэнергию, услуги ЖКХ, тарифы на перевозки). </w:t>
      </w:r>
      <w:r>
        <w:rPr>
          <w:highlight w:val="none"/>
        </w:rPr>
      </w:r>
      <w:r>
        <w:rPr>
          <w:highlight w:val="none"/>
        </w:rPr>
      </w:r>
    </w:p>
    <w:p>
      <w:pPr>
        <w:pStyle w:val="947"/>
        <w:ind w:firstLine="709"/>
        <w:widowControl/>
        <w:rPr>
          <w:highlight w:val="none"/>
        </w:rPr>
      </w:pPr>
      <w:r>
        <w:rPr>
          <w:sz w:val="28"/>
          <w:szCs w:val="28"/>
          <w:highlight w:val="none"/>
        </w:rPr>
        <w:t xml:space="preserve">Развитие потребительского рынка товаров и услуг в ближайшей перспективе будет направлено на максимальное обеспечение населения необходимыми товарами и услугами, развитие конкурентной среды, повышение качества и безопасности товаров. </w:t>
      </w:r>
      <w:r>
        <w:rPr>
          <w:highlight w:val="none"/>
        </w:rPr>
      </w:r>
      <w:r>
        <w:rPr>
          <w:highlight w:val="none"/>
        </w:rPr>
      </w:r>
    </w:p>
    <w:p>
      <w:pPr>
        <w:pStyle w:val="947"/>
        <w:ind w:firstLine="709"/>
        <w:widowControl/>
        <w:rPr>
          <w:highlight w:val="none"/>
        </w:rPr>
      </w:pPr>
      <w:r>
        <w:rPr>
          <w:sz w:val="28"/>
          <w:szCs w:val="28"/>
          <w:highlight w:val="none"/>
        </w:rPr>
        <w:t xml:space="preserve">На фоне текущей ситуа</w:t>
      </w:r>
      <w:r>
        <w:rPr>
          <w:sz w:val="28"/>
          <w:szCs w:val="28"/>
          <w:highlight w:val="none"/>
        </w:rPr>
        <w:t xml:space="preserve">ции в экономике в 2024 году индекс потребительских цен на товары и услуги (к декабрю 2023 года) в области, по предварительной оценке, составит 5,4 процента, а в среднем за год будут на уровне 7,9 процента. В период 2025 – 2027 годов индекс потребительских </w:t>
      </w:r>
      <w:r>
        <w:rPr>
          <w:sz w:val="28"/>
          <w:szCs w:val="28"/>
          <w:highlight w:val="none"/>
        </w:rPr>
        <w:t xml:space="preserve">цен на товары и услуги стабилизируется и составит 4,4 – 4,1 процента                      к декабрю предыдущего года. 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Основным внешнеторговым партнером области является Китайская Народная Республика, на долю которой пр</w:t>
      </w:r>
      <w:r>
        <w:rPr>
          <w:szCs w:val="28"/>
          <w:highlight w:val="white"/>
        </w:rPr>
        <w:t xml:space="preserve">иходится 98,0 процента внешнеторгового оборота. Кроме того, в число стран-контрагентов области входят Республика Беларусь, Республика Казахстан, Итальянская Республика, Социалистическая Республика Вьетнам, Королевство Испания, Государство Япония, Монголия.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Основную номенклатуру экспорта области формируют железорудный концентрат – продукция Кимкано-Сутарского ГОК (91,0 процента), а также древесина и изделия из нее (6,9 процента), соя (1,0 процента).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Дальнейшее развитие экспортного потенциала области предполаг</w:t>
      </w:r>
      <w:r>
        <w:rPr>
          <w:szCs w:val="28"/>
          <w:highlight w:val="white"/>
        </w:rPr>
        <w:t xml:space="preserve">ается за счет развития агропромышленного и лесопромышленного комплексов, увеличения объемов производства и переработки сои, поставляемой на экспорт, а также реализации инвестиционных проектов резидентами территории опережающего развития «Амуро-Хинганская».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В структуре импортных поставок наибольший удельный вес занимают металлы и изделия из них, технологическое оборудование, а также некоторые виды продовольственных товаров.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contextualSpacing/>
        <w:ind w:firstLine="708"/>
        <w:jc w:val="both"/>
        <w:rPr>
          <w:highlight w:val="none"/>
        </w:rPr>
      </w:pPr>
      <w:r>
        <w:rPr>
          <w:szCs w:val="28"/>
          <w:highlight w:val="white"/>
        </w:rPr>
        <w:t xml:space="preserve">Объем инвестиций в основной капитал в 2023 году на территории области составил 29 326,8 млн. рублей, что в сопоставимых ценах составляет 128,8 процента к уровню 2022 года.</w:t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ост инвестиций обеспечен за счет реализации проектов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горнодобывающей отрасли (разработка Союзного месторождения графитовой руды, Сутарского месторождения железистых кварцитов, модернизация оборудования на предприятиях горнодобывающей отрасли), 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строительства объектов в рамках инвестиционных 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ОАО «РЖД»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ПАО «ФСК ЕЭС»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ПАО «Транснефть»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строительство объектов резервной нитки подводного перехода магистрального нефтепровода через р. Тунгуска в Смидовичском районе области), а также за счет бюджетных ин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вестиций, направленных на строительство комплексов защитных гидротехнических сооружений в Ленинском муниципальном районе, многоквартирных жилых домов  в рамках региональной адресной программы по переселению граждан из аварийного жилищного фонда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en-US"/>
        </w:rPr>
        <w:t xml:space="preserve">По видам экономической деятельности наибольший удельный вес занимают инвестиции в «транспортировку и хранение»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en-US"/>
        </w:rPr>
        <w:t xml:space="preserve">55,9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en-US"/>
        </w:rPr>
        <w:t xml:space="preserve">процента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en-US"/>
        </w:rPr>
        <w:t xml:space="preserve">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en-US"/>
        </w:rPr>
        <w:t xml:space="preserve">«добыча полезных ископаемых»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en-US"/>
        </w:rPr>
        <w:t xml:space="preserve">9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en-US"/>
        </w:rPr>
        <w:t xml:space="preserve">,3 процента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en-US"/>
        </w:rPr>
        <w:t xml:space="preserve">«обеспечение электрической энергией, газом и паром, кондиционирование воздуха» –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en-US"/>
        </w:rPr>
        <w:t xml:space="preserve">7,2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en-US"/>
        </w:rPr>
        <w:t xml:space="preserve">процента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en-US"/>
        </w:rPr>
        <w:t xml:space="preserve">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en-US"/>
        </w:rPr>
        <w:t xml:space="preserve">в данных видах экономической деятельности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en-US"/>
        </w:rPr>
        <w:t xml:space="preserve">в 2023 году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en-US"/>
        </w:rPr>
        <w:t xml:space="preserve">отмечен рост инвестиций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en-US"/>
        </w:rPr>
        <w:t xml:space="preserve">в основной капитал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en-US"/>
        </w:rPr>
        <w:t xml:space="preserve">к уровню 2022 года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en-US"/>
        </w:rPr>
        <w:t xml:space="preserve"> –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en-US"/>
        </w:rPr>
        <w:t xml:space="preserve">176,8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en-US"/>
        </w:rPr>
        <w:t xml:space="preserve">процента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en-US"/>
        </w:rPr>
        <w:t xml:space="preserve">116,0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en-US"/>
        </w:rPr>
        <w:t xml:space="preserve">процента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en-US"/>
        </w:rPr>
        <w:t xml:space="preserve">, 183,0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en-US"/>
        </w:rPr>
        <w:t xml:space="preserve">процента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en-US"/>
        </w:rPr>
        <w:t xml:space="preserve">соответственно.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14:ligatures w14:val="none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14:ligatures w14:val="none"/>
        </w:rPr>
      </w:pPr>
      <w:r>
        <w:rPr>
          <w:b w:val="0"/>
          <w:bCs w:val="0"/>
          <w:sz w:val="28"/>
          <w:szCs w:val="28"/>
          <w:highlight w:val="white"/>
          <w:lang w:eastAsia="en-US"/>
        </w:rPr>
        <w:t xml:space="preserve">В структуре </w:t>
      </w:r>
      <w:r>
        <w:rPr>
          <w:b w:val="0"/>
          <w:bCs w:val="0"/>
          <w:sz w:val="28"/>
          <w:szCs w:val="28"/>
          <w:highlight w:val="white"/>
          <w:lang w:eastAsia="en-US"/>
        </w:rPr>
        <w:t xml:space="preserve">инвестиций в основной капитал по источникам финансирования </w:t>
      </w:r>
      <w:r>
        <w:rPr>
          <w:b w:val="0"/>
          <w:bCs w:val="0"/>
          <w:sz w:val="28"/>
          <w:szCs w:val="28"/>
          <w:highlight w:val="white"/>
          <w:lang w:eastAsia="en-US"/>
        </w:rPr>
        <w:t xml:space="preserve">в 2023 году</w:t>
      </w:r>
      <w:r>
        <w:rPr>
          <w:b w:val="0"/>
          <w:bCs w:val="0"/>
          <w:sz w:val="28"/>
          <w:szCs w:val="28"/>
          <w:highlight w:val="white"/>
          <w:lang w:eastAsia="en-US"/>
        </w:rPr>
        <w:t xml:space="preserve"> наибольш</w:t>
      </w:r>
      <w:r>
        <w:rPr>
          <w:b w:val="0"/>
          <w:bCs w:val="0"/>
          <w:sz w:val="28"/>
          <w:szCs w:val="28"/>
          <w:highlight w:val="white"/>
          <w:lang w:eastAsia="en-US"/>
        </w:rPr>
        <w:t xml:space="preserve">ий удельный вес составили привлеченные</w:t>
      </w:r>
      <w:r>
        <w:rPr>
          <w:b w:val="0"/>
          <w:bCs w:val="0"/>
          <w:sz w:val="28"/>
          <w:szCs w:val="28"/>
          <w:highlight w:val="white"/>
          <w:lang w:eastAsia="en-US"/>
        </w:rPr>
        <w:t xml:space="preserve"> средства – </w:t>
      </w:r>
      <w:r>
        <w:rPr>
          <w:b w:val="0"/>
          <w:bCs w:val="0"/>
          <w:sz w:val="28"/>
          <w:szCs w:val="28"/>
          <w:highlight w:val="white"/>
          <w:lang w:eastAsia="en-US"/>
        </w:rPr>
        <w:t xml:space="preserve">63,1 процента </w:t>
      </w:r>
      <w:r>
        <w:rPr>
          <w:b w:val="0"/>
          <w:bCs w:val="0"/>
          <w:sz w:val="28"/>
          <w:szCs w:val="28"/>
          <w:highlight w:val="white"/>
          <w:lang w:eastAsia="en-US"/>
        </w:rPr>
        <w:t xml:space="preserve">(увеличение на 19,9 п.п. по сравнению с 2022 годом), доля собственных средств снизилась на 19,9 п.п. и составила </w:t>
      </w:r>
      <w:r>
        <w:rPr>
          <w:b w:val="0"/>
          <w:bCs w:val="0"/>
          <w:sz w:val="28"/>
          <w:szCs w:val="28"/>
          <w:highlight w:val="white"/>
          <w:lang w:eastAsia="en-US"/>
        </w:rPr>
        <w:t xml:space="preserve">36,9 процента.</w:t>
      </w:r>
      <w:r>
        <w:rPr>
          <w:b w:val="0"/>
          <w:bCs w:val="0"/>
          <w:sz w:val="28"/>
          <w:szCs w:val="28"/>
          <w:highlight w:val="white"/>
          <w:lang w:eastAsia="en-US"/>
        </w:rPr>
        <w:t xml:space="preserve"> Доля бюджетных средств увеличилась на 7,6 п.п. по с равнению с 2022 годом и составила </w:t>
      </w:r>
      <w:r>
        <w:rPr>
          <w:b w:val="0"/>
          <w:bCs w:val="0"/>
          <w:sz w:val="28"/>
          <w:szCs w:val="28"/>
          <w:highlight w:val="white"/>
          <w:lang w:eastAsia="en-US"/>
        </w:rPr>
        <w:t xml:space="preserve">23,6 процента,</w:t>
      </w:r>
      <w:r>
        <w:rPr>
          <w:b w:val="0"/>
          <w:bCs w:val="0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en-US"/>
        </w:rPr>
        <w:t xml:space="preserve">что связано с увеличением расходов в объекты капитального строительства, осуществляемые в рамках региональных проектов, государственных программ Еврейской автономной области.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14:ligatures w14:val="none"/>
        </w:rPr>
      </w:r>
    </w:p>
    <w:p>
      <w:pPr>
        <w:contextualSpacing/>
        <w:ind w:firstLine="708"/>
        <w:jc w:val="both"/>
        <w:rPr>
          <w:highlight w:val="yellow"/>
        </w:rPr>
      </w:pPr>
      <w:r>
        <w:rPr>
          <w:szCs w:val="28"/>
          <w:highlight w:val="yellow"/>
        </w:rPr>
      </w:r>
      <w:r>
        <w:rPr>
          <w:sz w:val="28"/>
          <w:szCs w:val="28"/>
          <w:highlight w:val="white"/>
        </w:rPr>
        <w:t xml:space="preserve">По предварительной оценке, в 2024 году </w:t>
      </w:r>
      <w:r>
        <w:rPr>
          <w:sz w:val="28"/>
          <w:szCs w:val="28"/>
          <w:highlight w:val="white"/>
        </w:rPr>
        <w:t xml:space="preserve">за счет реализации крупных инвестиционных проектов, инвестиционных программ ОАО «РЖД», </w:t>
      </w:r>
      <w:r>
        <w:rPr>
          <w:sz w:val="28"/>
          <w:szCs w:val="28"/>
          <w:highlight w:val="white"/>
          <w:lang w:eastAsia="en-US"/>
        </w:rPr>
        <w:t xml:space="preserve">        ПАО «Транснефть»</w:t>
      </w:r>
      <w:r>
        <w:rPr>
          <w:sz w:val="28"/>
          <w:szCs w:val="28"/>
          <w:highlight w:val="white"/>
        </w:rPr>
        <w:t xml:space="preserve">, АО «Газпром», ПАО «ФСК ЕЭС» </w:t>
      </w:r>
      <w:r>
        <w:rPr>
          <w:sz w:val="28"/>
          <w:szCs w:val="28"/>
          <w:highlight w:val="white"/>
          <w:lang w:eastAsia="en-US"/>
        </w:rPr>
        <w:t xml:space="preserve">–</w:t>
      </w:r>
      <w:r>
        <w:rPr>
          <w:sz w:val="28"/>
          <w:szCs w:val="28"/>
          <w:highlight w:val="white"/>
        </w:rPr>
        <w:t xml:space="preserve"> МЭС Востока </w:t>
      </w:r>
      <w:r>
        <w:rPr>
          <w:sz w:val="28"/>
          <w:szCs w:val="28"/>
          <w:highlight w:val="white"/>
        </w:rPr>
        <w:t xml:space="preserve">объем инвестиций в основной капитал составит 33 731,7 млн. рублей, или                 106,5 процента в со</w:t>
      </w:r>
      <w:r>
        <w:rPr>
          <w:sz w:val="28"/>
          <w:szCs w:val="28"/>
          <w:highlight w:val="white"/>
        </w:rPr>
        <w:t xml:space="preserve">поставимых ценах к уровню 2023 года. </w:t>
      </w:r>
      <w:r>
        <w:rPr>
          <w:highlight w:val="yellow"/>
        </w:rPr>
      </w:r>
      <w:r>
        <w:rPr>
          <w:highlight w:val="yellow"/>
        </w:rPr>
      </w:r>
    </w:p>
    <w:p>
      <w:pPr>
        <w:contextualSpacing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Структура инвестиций по источникам финансирования в 2024 году остаетс</w:t>
      </w:r>
      <w:r>
        <w:rPr>
          <w:sz w:val="28"/>
          <w:szCs w:val="28"/>
          <w:highlight w:val="white"/>
        </w:rPr>
        <w:t xml:space="preserve">я прежней, основной объем будет приходиться н</w:t>
      </w:r>
      <w:r>
        <w:rPr>
          <w:sz w:val="28"/>
          <w:szCs w:val="28"/>
          <w:highlight w:val="white"/>
        </w:rPr>
        <w:t xml:space="preserve">а привлеченные  средства </w:t>
      </w:r>
      <w:r>
        <w:rPr>
          <w:sz w:val="28"/>
          <w:szCs w:val="28"/>
          <w:highlight w:val="white"/>
          <w:lang w:eastAsia="en-US"/>
        </w:rPr>
        <w:t xml:space="preserve">–</w:t>
      </w:r>
      <w:r>
        <w:rPr>
          <w:sz w:val="28"/>
          <w:szCs w:val="28"/>
          <w:highlight w:val="white"/>
        </w:rPr>
        <w:t xml:space="preserve"> 64,0 процента,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собственные  средства составят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36,0 процентов.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Положительная динамика инвестиций сохранится в прогнозном периоде, прирост инвестиций ожидается от 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 процентов в 2025 году до 6,8 процентов в 2027 году (по базовому варианту прогноза).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Прогнозируется реализация крупных инвестиционных проект</w:t>
      </w:r>
      <w:r>
        <w:rPr>
          <w:sz w:val="28"/>
          <w:szCs w:val="28"/>
          <w:highlight w:val="white"/>
        </w:rPr>
        <w:t xml:space="preserve">ов: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горнодобывающем комплексе: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</w:rPr>
        <w:t xml:space="preserve">продолжение строительства второй очереди комплекса Кимкано-Сутарского ГОКа – освоение Сутарского месторождения железистых кварцитов (ООО «Кимкано-Сутарский ГОК</w:t>
      </w:r>
      <w:r>
        <w:rPr>
          <w:sz w:val="28"/>
          <w:szCs w:val="28"/>
          <w:highlight w:val="white"/>
        </w:rPr>
        <w:t xml:space="preserve">»,</w:t>
      </w:r>
      <w:r>
        <w:rPr>
          <w:sz w:val="28"/>
          <w:szCs w:val="28"/>
          <w:highlight w:val="white"/>
        </w:rPr>
        <w:t xml:space="preserve"> объем инвестиций – 4,5 млрд. рублей);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</w:rPr>
        <w:t xml:space="preserve">освоение Савкинского месторождения брусита в Октябрьском муниципальном районе области на базе Кульдурского бруситового рудника (ООО «Кульдурская бруситовая компания», объем инвестиций –                         9,5 млрд. рублей);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</w:rPr>
        <w:t xml:space="preserve">разработка Топо</w:t>
      </w:r>
      <w:r>
        <w:rPr>
          <w:sz w:val="28"/>
          <w:szCs w:val="28"/>
          <w:highlight w:val="white"/>
        </w:rPr>
        <w:t xml:space="preserve">лихинского участка Союзного месторождения графита и строительство горно-обогатительного комбината с мощностью производства до 40 тыс. тонн графитового концентрата в год                                (ООО «Дальграфит», объем инвестиций – 7,6 млрд. рублей).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обрабатывающих отраслях: 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создание высокотехнологичного лесопромышленного предприятия в Облученском муниципальном районе области (ООО «ВТК Инвест», объем инвестиций – 1,1 млрд. рублей); 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</w:rPr>
        <w:t xml:space="preserve">строительство комплекса по переработке соевых бобов мощностью      60 тыс. тонн соевых бобов в год (ООО «СК Свой дом», объем инвестиций – 1,0 млрд. рублей);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</w:rPr>
        <w:t xml:space="preserve">создание кластера по производству изделий медицинского назначения, биопрепаратов (ООО «УК» Индустриальный парк «Шалом», объем инвестиций – 12 млрд. рублей)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сельском хозяйстве планируется реализация инвестиционных проектов: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</w:t>
      </w:r>
      <w:r>
        <w:rPr>
          <w:sz w:val="28"/>
          <w:szCs w:val="28"/>
          <w:highlight w:val="white"/>
        </w:rPr>
        <w:t xml:space="preserve"> создание современного животноводческого комплекса (компания </w:t>
      </w:r>
      <w:r>
        <w:rPr>
          <w:sz w:val="28"/>
          <w:szCs w:val="28"/>
          <w:highlight w:val="white"/>
        </w:rPr>
        <w:t xml:space="preserve">«Муданьцзян Ваньдин»</w:t>
      </w:r>
      <w:r>
        <w:rPr>
          <w:sz w:val="28"/>
          <w:szCs w:val="28"/>
          <w:highlight w:val="white"/>
        </w:rPr>
        <w:t xml:space="preserve">, объем инвестиций – 5,5 млрд. рублей);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</w:t>
      </w:r>
      <w:r>
        <w:rPr>
          <w:sz w:val="28"/>
          <w:szCs w:val="28"/>
          <w:highlight w:val="white"/>
        </w:rPr>
        <w:t xml:space="preserve"> создание тепличного комплекса (ЗАО «Струнные технологии», объем инвестиций –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9,4 млрд. рублей);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создание </w:t>
      </w:r>
      <w:r>
        <w:rPr>
          <w:sz w:val="28"/>
          <w:szCs w:val="28"/>
          <w:highlight w:val="white"/>
        </w:rPr>
        <w:t xml:space="preserve">питомника по выращиванию посадочного материала лесных культур (</w:t>
      </w:r>
      <w:r>
        <w:rPr>
          <w:sz w:val="28"/>
          <w:szCs w:val="28"/>
          <w:highlight w:val="white"/>
        </w:rPr>
        <w:t xml:space="preserve">ООО «Дальневосточная лесовосстановительная компания», объем инвестиций – 166,78</w:t>
      </w:r>
      <w:r>
        <w:rPr>
          <w:sz w:val="28"/>
          <w:szCs w:val="28"/>
          <w:highlight w:val="white"/>
        </w:rPr>
        <w:t xml:space="preserve"> млн. рублей);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с</w:t>
      </w:r>
      <w:r>
        <w:rPr>
          <w:sz w:val="28"/>
          <w:szCs w:val="28"/>
          <w:highlight w:val="white"/>
        </w:rPr>
        <w:t xml:space="preserve">троительство агротехнического кластера в п. Смидович ЕАО </w:t>
      </w:r>
      <w:r>
        <w:rPr>
          <w:sz w:val="28"/>
          <w:szCs w:val="28"/>
          <w:highlight w:val="white"/>
        </w:rPr>
        <w:t xml:space="preserve"> (</w:t>
      </w:r>
      <w:r>
        <w:rPr>
          <w:sz w:val="28"/>
          <w:szCs w:val="28"/>
          <w:highlight w:val="white"/>
        </w:rPr>
        <w:t xml:space="preserve">ООО «Ферст Квантум Агро»</w:t>
      </w:r>
      <w:r>
        <w:rPr>
          <w:sz w:val="28"/>
          <w:szCs w:val="28"/>
          <w:highlight w:val="white"/>
        </w:rPr>
        <w:t xml:space="preserve">, объем инвестиций – 8,9 млрд. рублей).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сфере электроэнергетики реализуется инвестиционный проект по </w:t>
      </w:r>
      <w:r>
        <w:rPr>
          <w:sz w:val="28"/>
          <w:szCs w:val="28"/>
          <w:highlight w:val="white"/>
        </w:rPr>
        <w:t xml:space="preserve">строительству солнечной электростанции (СЭС) – «Бира» 4,9 МВт»</w:t>
      </w:r>
      <w:r>
        <w:rPr>
          <w:sz w:val="28"/>
          <w:szCs w:val="28"/>
          <w:highlight w:val="white"/>
        </w:rPr>
        <w:t xml:space="preserve"> (</w:t>
      </w:r>
      <w:r>
        <w:rPr>
          <w:sz w:val="28"/>
          <w:szCs w:val="28"/>
          <w:highlight w:val="white"/>
        </w:rPr>
        <w:t xml:space="preserve">ООО «СоларЭнерджи-ЕАО», объем инвестиций – 383,8 млн. рублей).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Завершение строительства трансграничного </w:t>
      </w:r>
      <w:r>
        <w:rPr>
          <w:sz w:val="28"/>
          <w:szCs w:val="28"/>
          <w:highlight w:val="white"/>
        </w:rPr>
        <w:t xml:space="preserve">железнодорожного мостового перехода через реку Амур в районе с. Нижнеленинское</w:t>
      </w:r>
      <w:r>
        <w:rPr>
          <w:sz w:val="28"/>
          <w:szCs w:val="28"/>
          <w:highlight w:val="white"/>
        </w:rPr>
        <w:t xml:space="preserve"> стало импульсом </w:t>
      </w:r>
      <w:r>
        <w:rPr>
          <w:sz w:val="28"/>
          <w:szCs w:val="28"/>
          <w:highlight w:val="white"/>
        </w:rPr>
        <w:t xml:space="preserve">для реализации целого ряда инвестиционных проектов в сферах логистики и производства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Прирост инвестиций в транспортном комплексе области планируется обеспечить за счет реализации значимых проектов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2023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2025 годах завершится строительство приграничной инфраструктуры вышеуказанного мостового перехода.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примостовой зоне реализуются инвестиционные проекты: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строительство транспортно-логистического комплекса                             (ООО «Гарант», объем инвестиций – 12,5 млрд. рублей);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строительство железнодорожного перевалочного комплекса для организации экспортных поставок сжиженного углеводородного газа </w:t>
        <w:br/>
        <w:t xml:space="preserve">(ООО «Объединенная нефтегазохимическая компания», объем инвестиций – </w:t>
        <w:br/>
        <w:t xml:space="preserve">8,2 млрд. рублей);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создание портового кластера по перевалке сыпучих грузов на террит</w:t>
      </w:r>
      <w:r>
        <w:rPr>
          <w:sz w:val="28"/>
          <w:szCs w:val="28"/>
          <w:highlight w:val="white"/>
        </w:rPr>
        <w:t xml:space="preserve">ории</w:t>
      </w:r>
      <w:r>
        <w:rPr>
          <w:sz w:val="28"/>
          <w:szCs w:val="28"/>
          <w:highlight w:val="white"/>
        </w:rPr>
        <w:t xml:space="preserve"> </w:t>
      </w:r>
      <w:bookmarkStart w:id="0" w:name="undefined"/>
      <w:r>
        <w:rPr>
          <w:sz w:val="28"/>
          <w:szCs w:val="28"/>
          <w:highlight w:val="white"/>
        </w:rPr>
      </w:r>
      <w:bookmarkEnd w:id="0"/>
      <w:r>
        <w:rPr>
          <w:sz w:val="28"/>
          <w:szCs w:val="28"/>
          <w:highlight w:val="white"/>
        </w:rPr>
        <w:t xml:space="preserve">порта </w:t>
      </w:r>
      <w:r>
        <w:rPr>
          <w:sz w:val="28"/>
          <w:szCs w:val="28"/>
          <w:highlight w:val="white"/>
        </w:rPr>
        <w:t xml:space="preserve">Нижне-Ленинский (ООО «ПТЛК – Портовая инфраструктура», объем инвестиций – 383,8 млн.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рублей)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создание логистического комплекса для организации импортных поставок погрузочно‐разгрузочной техники (ООО «Север», объем инвестиций – 475,0 млн. рублей).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С 2024 года на территории области ПАО «Газпром» началось строительство магистрального газопровода (строительство перемычки между газопроводами «Сила Сибири» и «Сахалин – Хабаровск – Владивосток»).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рамках инвестиционной программы ОАО «РЖД» планируется осуществить работы по реконструкции, модернизации железнодорожных объектов на территории области, в рамках государственных программ области и регионал</w:t>
      </w:r>
      <w:r>
        <w:rPr>
          <w:sz w:val="28"/>
          <w:szCs w:val="28"/>
          <w:highlight w:val="white"/>
        </w:rPr>
        <w:t xml:space="preserve">ьных проек</w:t>
      </w:r>
      <w:r>
        <w:rPr>
          <w:sz w:val="28"/>
          <w:szCs w:val="28"/>
          <w:highlight w:val="white"/>
        </w:rPr>
        <w:t xml:space="preserve">тов – работы по строительству и реконструкции автомобильных дорог регионального и межмуниципального значения, мостового перехода через реку Бира в областном центре, путепроводов на автомобильной дороге регионального значения Биробиджан – Унгун – Ленинское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0 км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8 км.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сфере коммунального хозяйства реализуется проект по строительству  комплексных объектов по</w:t>
      </w:r>
      <w:r>
        <w:rPr>
          <w:sz w:val="28"/>
          <w:szCs w:val="28"/>
          <w:highlight w:val="white"/>
        </w:rPr>
        <w:t xml:space="preserve"> обработке, утилизации и захоронению твердых коммунальных отходов (ООО «Инвестиционная Строительная Компания», объем инвестиций – 664,8 млн.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рублей). 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Федеральной адресной инвестиционной программой предусмотрена реконструкция защитных гидротехнических сооружений с. Ленинское, дамбы «Новинская» в Ленинском муниципальном районе (объем инвестиций на 2024 – 2025 годы –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1,2 млрд. рублей).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деятельности по передаче и распределению электроэнергии капитальные вложения на террит</w:t>
      </w:r>
      <w:r>
        <w:rPr>
          <w:sz w:val="28"/>
          <w:szCs w:val="28"/>
          <w:highlight w:val="white"/>
        </w:rPr>
        <w:t xml:space="preserve">ории области будут обеспечены за счет</w:t>
      </w:r>
      <w:r>
        <w:rPr>
          <w:sz w:val="28"/>
          <w:szCs w:val="28"/>
          <w:highlight w:val="white"/>
        </w:rPr>
        <w:t xml:space="preserve"> реализации инвестиционных программ филиала АО «ДРСК» «Электрические сети ЕАО», ПАО «ФСК ЕЭС», структурного подразделения «Биробиджанская ТЭЦ» филиала «Хабаровская генерация»                                      АО «Дальневосточная генерирующая компания». 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8"/>
        <w:jc w:val="both"/>
        <w:rPr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рамках м</w:t>
      </w:r>
      <w:r>
        <w:rPr>
          <w:sz w:val="28"/>
          <w:szCs w:val="28"/>
          <w:highlight w:val="white"/>
        </w:rPr>
        <w:t xml:space="preserve">ероприятий региональных проектов области, Плана социального развити</w:t>
      </w:r>
      <w:r>
        <w:rPr>
          <w:sz w:val="28"/>
          <w:szCs w:val="28"/>
          <w:highlight w:val="white"/>
        </w:rPr>
        <w:t xml:space="preserve">я центров экономического роста области планируется осуществлять строительство социально значимых и инфраструктурных объектов в сферах образования, здравоохранения, культуры, спорта, организации досуга и развлечений на территориях муниципальных образований.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jc w:val="both"/>
        <w:rPr>
          <w:rFonts w:eastAsia="Calibri"/>
          <w:color w:val="000000"/>
          <w:highlight w:val="none"/>
        </w:rPr>
      </w:pPr>
      <w:r>
        <w:rPr>
          <w:color w:val="000000"/>
          <w:szCs w:val="28"/>
          <w:highlight w:val="none"/>
        </w:rPr>
        <w:t xml:space="preserve">По предварительной оценке, к концу 2024 года реальные располагаемые денежные доходы населения сложатся на уровне                         102,5 процента. </w:t>
      </w:r>
      <w:r>
        <w:rPr>
          <w:rFonts w:eastAsia="Roboto"/>
          <w:color w:val="000000"/>
          <w:szCs w:val="28"/>
          <w:highlight w:val="none"/>
        </w:rPr>
        <w:t xml:space="preserve">Росту доходов населения будут способствовать новые ежемесячные выплаты для семей с детьми от 8 до 17 лет, предоставление помощи в рамках нового</w:t>
      </w:r>
      <w:r>
        <w:rPr>
          <w:rFonts w:eastAsia="Roboto"/>
          <w:color w:val="000000"/>
          <w:szCs w:val="28"/>
          <w:highlight w:val="none"/>
        </w:rPr>
        <w:t xml:space="preserve"> инструмента жилищных пособий в связи с рождением и воспитанием ребенка, индексация прожиточного минимума, пенсий неработающих пенсионеров и минимальный размер оплаты труда выше уровня инфляции и средних темпов роста зарплат, а также снижение безработицы. </w:t>
      </w:r>
      <w:r>
        <w:rPr>
          <w:rFonts w:eastAsia="Calibri"/>
          <w:color w:val="000000"/>
          <w:highlight w:val="none"/>
        </w:rPr>
      </w:r>
      <w:r>
        <w:rPr>
          <w:rFonts w:eastAsia="Calibri"/>
          <w:color w:val="000000"/>
          <w:highlight w:val="none"/>
        </w:rPr>
      </w:r>
    </w:p>
    <w:p>
      <w:pPr>
        <w:ind w:firstLine="709"/>
        <w:jc w:val="both"/>
        <w:rPr>
          <w:rFonts w:eastAsia="Calibri"/>
          <w:color w:val="000000"/>
          <w:highlight w:val="none"/>
        </w:rPr>
      </w:pPr>
      <w:r>
        <w:rPr>
          <w:rFonts w:eastAsia="Calibri"/>
          <w:color w:val="000000"/>
          <w:szCs w:val="28"/>
          <w:highlight w:val="white"/>
        </w:rPr>
        <w:t xml:space="preserve">Д</w:t>
      </w:r>
      <w:r>
        <w:rPr>
          <w:rFonts w:eastAsia="Calibri"/>
          <w:color w:val="000000"/>
          <w:szCs w:val="28"/>
          <w:highlight w:val="white"/>
        </w:rPr>
        <w:t xml:space="preserve">ополнительный вклад в рост доходов населения области внесет опережающий рост доходов от предпринимательской деятельности.                        В условиях разв</w:t>
      </w:r>
      <w:r>
        <w:rPr>
          <w:rFonts w:eastAsia="Calibri"/>
          <w:color w:val="000000"/>
          <w:szCs w:val="28"/>
          <w:highlight w:val="none"/>
        </w:rPr>
        <w:t xml:space="preserve">ития новых форм ведения бизнеса и легализации занятост</w:t>
      </w:r>
      <w:r>
        <w:rPr>
          <w:rFonts w:eastAsia="Calibri"/>
          <w:color w:val="000000"/>
          <w:szCs w:val="28"/>
          <w:highlight w:val="none"/>
        </w:rPr>
        <w:t xml:space="preserve">и в ближайшие годы будет расти число самозанятых граждан и индивидуальных предпринимателей. Условия для этого позволит создать реализация национального проекта «Малое и среднее предпринимательство и поддержка индивидуальной предпринимательской инициативы».</w:t>
      </w:r>
      <w:r>
        <w:rPr>
          <w:rFonts w:eastAsia="Calibri"/>
          <w:color w:val="000000"/>
          <w:highlight w:val="none"/>
        </w:rPr>
      </w:r>
      <w:r>
        <w:rPr>
          <w:rFonts w:eastAsia="Calibri"/>
          <w:color w:val="000000"/>
          <w:highlight w:val="none"/>
        </w:rPr>
      </w:r>
    </w:p>
    <w:p>
      <w:pPr>
        <w:pStyle w:val="931"/>
        <w:ind w:left="0" w:firstLine="709"/>
        <w:jc w:val="both"/>
        <w:spacing w:after="0"/>
        <w:rPr>
          <w:highlight w:val="none"/>
        </w:rPr>
      </w:pPr>
      <w:r>
        <w:rPr>
          <w:color w:val="000000"/>
          <w:sz w:val="28"/>
          <w:szCs w:val="28"/>
          <w:highlight w:val="none"/>
          <w:lang w:val="ru-RU"/>
        </w:rPr>
        <w:t xml:space="preserve">В период 2025 – 2027 годов реальные располагаемые денежные доходы населения составят 102,5 – 102,9 процента (по базовому варианту прогноза). 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color w:val="000000"/>
          <w:szCs w:val="28"/>
          <w:highlight w:val="none"/>
        </w:rPr>
        <w:t xml:space="preserve">На 2024 год установлена величина прожиточного минимума в расчете на ду</w:t>
      </w:r>
      <w:r>
        <w:rPr>
          <w:color w:val="000000"/>
          <w:szCs w:val="28"/>
          <w:highlight w:val="none"/>
        </w:rPr>
        <w:t xml:space="preserve">шу населения в размере 20 185 рублей, в том числе для трудоспособного населения – 22 002 рубля, для пенсионеров – 17 359 рублей, для детей – 20 301 рубль. В дальнейшем рост значения данного показателя будет обусловлен ростом инфляции на территории области.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b/>
          <w:bCs/>
          <w:szCs w:val="28"/>
          <w:highlight w:val="none"/>
        </w:rPr>
      </w:pPr>
      <w:r>
        <w:rPr>
          <w:szCs w:val="28"/>
          <w:highlight w:val="none"/>
        </w:rPr>
        <w:t xml:space="preserve">Реализация региональных проектов области в рамках национальных проектов (программ) на территории региона позволит снизить уровень бедности. Прогнозное значение уровня бедности на 2024 год (16,7 процента населения с </w:t>
      </w:r>
      <w:r>
        <w:rPr>
          <w:szCs w:val="28"/>
          <w:highlight w:val="none"/>
        </w:rPr>
        <w:t xml:space="preserve">доходами ниже величины прожиточного минимума) определено с учетом прогнозируемой величины прожиточного минимума населения и роста среднедушевых денежных доходов населения. В 2025 – 2027 годах прогнозируется снижение уровня бедности до 16,1 процента в 2025 </w:t>
      </w:r>
      <w:r>
        <w:rPr>
          <w:szCs w:val="28"/>
          <w:highlight w:val="none"/>
        </w:rPr>
        <w:t xml:space="preserve">году,   </w:t>
      </w:r>
      <w:r>
        <w:rPr>
          <w:szCs w:val="28"/>
          <w:highlight w:val="none"/>
        </w:rPr>
        <w:t xml:space="preserve">                15,5 процента в 2026 году и 14,7 процента в 2027 году (по базовому варианту прогноза).</w:t>
      </w:r>
      <w:r>
        <w:rPr>
          <w:b/>
          <w:bCs/>
          <w:szCs w:val="28"/>
          <w:highlight w:val="none"/>
        </w:rPr>
      </w:r>
      <w:r>
        <w:rPr>
          <w:b/>
          <w:bCs/>
          <w:szCs w:val="28"/>
          <w:highlight w:val="none"/>
        </w:rPr>
      </w:r>
    </w:p>
    <w:p>
      <w:pPr>
        <w:ind w:firstLine="708"/>
        <w:jc w:val="both"/>
        <w:rPr>
          <w:szCs w:val="28"/>
          <w:highlight w:val="none"/>
        </w:rPr>
      </w:pPr>
      <w:r>
        <w:rPr>
          <w:szCs w:val="28"/>
          <w:highlight w:val="none"/>
        </w:rPr>
        <w:t xml:space="preserve">Несмотря на то, что в 2024 году рынок труда области стабилизировался, п</w:t>
      </w:r>
      <w:r>
        <w:rPr>
          <w:rFonts w:eastAsia="MS Mincho"/>
          <w:bCs/>
          <w:szCs w:val="28"/>
          <w:highlight w:val="none"/>
          <w:lang w:eastAsia="ja-JP"/>
        </w:rPr>
        <w:t xml:space="preserve">родолжающаяся убыль населения в трудоспособном возрасте, миграция трудовых ресурсов в другие субъекты Российской Федерации продолжают оказывать негативное влияние на динамику численности рабочей силы. Так,</w:t>
      </w:r>
      <w:r>
        <w:rPr>
          <w:szCs w:val="28"/>
          <w:highlight w:val="none"/>
        </w:rPr>
        <w:t xml:space="preserve"> численность рабочей силы в текущем году </w:t>
      </w:r>
      <w:r>
        <w:rPr>
          <w:szCs w:val="28"/>
          <w:highlight w:val="none"/>
        </w:rPr>
        <w:t xml:space="preserve">оценивается как 74,7 тыс. человек, в том числе 60,6 тыс. человек </w:t>
      </w:r>
      <w:r>
        <w:rPr>
          <w:rFonts w:ascii="Symbol" w:hAnsi="Symbol" w:eastAsia="Symbol" w:cs="Symbol"/>
          <w:szCs w:val="28"/>
          <w:highlight w:val="none"/>
        </w:rPr>
        <w:t xml:space="preserve"></w:t>
      </w:r>
      <w:r>
        <w:rPr>
          <w:szCs w:val="28"/>
          <w:highlight w:val="none"/>
        </w:rPr>
        <w:t xml:space="preserve"> занятые в экономике области. Уровень общей безработицы снизится до 3,2 процента, уровень регистрированной безработицы – до 0,8 процента от численности рабочей силы.</w:t>
      </w: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firstLine="709"/>
        <w:jc w:val="both"/>
        <w:rPr>
          <w:szCs w:val="28"/>
          <w:highlight w:val="none"/>
        </w:rPr>
      </w:pPr>
      <w:r>
        <w:rPr>
          <w:szCs w:val="28"/>
          <w:highlight w:val="none"/>
        </w:rPr>
        <w:t xml:space="preserve">В условиях постепенной адаптации экономики к внешнему санкционному воздействию ситуация на рынке труда будет оставаться стабильной. Правите</w:t>
      </w:r>
      <w:r>
        <w:rPr>
          <w:szCs w:val="28"/>
          <w:highlight w:val="none"/>
        </w:rPr>
        <w:t xml:space="preserve">льством Российской Федерации в среднесрочной перспективе предполагается реализация мероприятий, направленных на снижение безработицы, повышение эффективности регулирования процессов использования трудовых ресурсов, обеспечение защиты трудовых прав граждан.</w:t>
      </w: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firstLine="709"/>
        <w:jc w:val="both"/>
        <w:rPr>
          <w:szCs w:val="28"/>
          <w:highlight w:val="none"/>
        </w:rPr>
      </w:pPr>
      <w:r>
        <w:rPr>
          <w:szCs w:val="28"/>
          <w:highlight w:val="none"/>
        </w:rPr>
        <w:t xml:space="preserve">В результате реализации комплекса мер по содействию занятости населения численность занятого населения к 2027 </w:t>
      </w:r>
      <w:r>
        <w:rPr>
          <w:szCs w:val="28"/>
          <w:highlight w:val="none"/>
        </w:rPr>
        <w:t xml:space="preserve">году  вырастет</w:t>
      </w:r>
      <w:r>
        <w:rPr>
          <w:szCs w:val="28"/>
          <w:highlight w:val="none"/>
        </w:rPr>
        <w:t xml:space="preserve"> до 6</w:t>
      </w:r>
      <w:r>
        <w:rPr>
          <w:szCs w:val="28"/>
          <w:highlight w:val="none"/>
        </w:rPr>
        <w:t xml:space="preserve">1,6 тыс. человек (по базовому варианту прогноза). При этом среднегодовой уровень безработицы снизится с 3,2 процента от численности рабочей силы в                  2025 году до </w:t>
      </w:r>
      <w:r>
        <w:rPr>
          <w:rFonts w:eastAsia="Calibri"/>
          <w:szCs w:val="28"/>
          <w:highlight w:val="none"/>
        </w:rPr>
        <w:t xml:space="preserve">3,1 </w:t>
      </w:r>
      <w:r>
        <w:rPr>
          <w:szCs w:val="28"/>
          <w:highlight w:val="none"/>
        </w:rPr>
        <w:t xml:space="preserve">процента в 2027 году.</w:t>
      </w: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firstLine="709"/>
        <w:jc w:val="both"/>
        <w:rPr>
          <w:szCs w:val="28"/>
          <w:highlight w:val="none"/>
        </w:rPr>
      </w:pPr>
      <w:r>
        <w:rPr>
          <w:szCs w:val="28"/>
          <w:highlight w:val="none"/>
        </w:rPr>
        <w:t xml:space="preserve">Численность рабочей силы в 2025 – 2027 годах будет постепенно увеличиваться с </w:t>
      </w:r>
      <w:r>
        <w:rPr>
          <w:rFonts w:eastAsia="Calibri"/>
          <w:szCs w:val="28"/>
          <w:highlight w:val="none"/>
        </w:rPr>
        <w:t xml:space="preserve">75,1</w:t>
      </w:r>
      <w:r>
        <w:rPr>
          <w:szCs w:val="28"/>
          <w:highlight w:val="none"/>
        </w:rPr>
        <w:t xml:space="preserve"> тыс. человек до </w:t>
      </w:r>
      <w:r>
        <w:rPr>
          <w:rFonts w:eastAsia="Calibri"/>
          <w:szCs w:val="28"/>
          <w:highlight w:val="none"/>
        </w:rPr>
        <w:t xml:space="preserve">76,0</w:t>
      </w:r>
      <w:r>
        <w:rPr>
          <w:szCs w:val="28"/>
          <w:highlight w:val="none"/>
        </w:rPr>
        <w:t xml:space="preserve"> тыс. человек, в том числе за счет роста потребности в трудовых ресурсах.</w:t>
      </w: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firstLine="709"/>
        <w:jc w:val="both"/>
        <w:rPr>
          <w:szCs w:val="28"/>
          <w:highlight w:val="none"/>
        </w:rPr>
      </w:pPr>
      <w:r>
        <w:rPr>
          <w:szCs w:val="28"/>
          <w:highlight w:val="none"/>
        </w:rPr>
        <w:t xml:space="preserve">На обеспечение устойчивого роста оплаты труда работников в прогнозный период будут направлены следующие меры:</w:t>
      </w: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pStyle w:val="951"/>
        <w:contextualSpacing w:val="0"/>
        <w:ind w:left="0" w:firstLine="709"/>
        <w:jc w:val="both"/>
        <w:rPr>
          <w:rFonts w:eastAsia="Calibri"/>
          <w:szCs w:val="28"/>
          <w:highlight w:val="none"/>
        </w:rPr>
      </w:pPr>
      <w:r>
        <w:rPr>
          <w:rFonts w:eastAsia="Calibri"/>
          <w:szCs w:val="28"/>
          <w:highlight w:val="none"/>
          <w:lang w:val="ru-RU"/>
        </w:rPr>
        <w:t xml:space="preserve">- ежегодное повышение </w:t>
      </w:r>
      <w:r>
        <w:rPr>
          <w:rFonts w:eastAsia="Roboto"/>
          <w:color w:val="000000"/>
          <w:szCs w:val="28"/>
          <w:highlight w:val="none"/>
          <w:lang w:val="ru-RU"/>
        </w:rPr>
        <w:t xml:space="preserve">минимального размера оплаты труда</w:t>
      </w:r>
      <w:r>
        <w:rPr>
          <w:rFonts w:eastAsia="Calibri"/>
          <w:szCs w:val="28"/>
          <w:highlight w:val="none"/>
          <w:lang w:val="ru-RU"/>
        </w:rPr>
        <w:t xml:space="preserve"> в соответствии с требованиями трудового законодательства Российской Федерации;</w:t>
      </w:r>
      <w:r>
        <w:rPr>
          <w:rFonts w:eastAsia="Calibri"/>
          <w:szCs w:val="28"/>
          <w:highlight w:val="none"/>
        </w:rPr>
      </w:r>
      <w:r>
        <w:rPr>
          <w:rFonts w:eastAsia="Calibri"/>
          <w:szCs w:val="28"/>
          <w:highlight w:val="none"/>
        </w:rPr>
      </w:r>
    </w:p>
    <w:p>
      <w:pPr>
        <w:pStyle w:val="951"/>
        <w:contextualSpacing w:val="0"/>
        <w:ind w:left="0" w:firstLine="709"/>
        <w:jc w:val="both"/>
        <w:rPr>
          <w:rFonts w:eastAsia="Calibri"/>
          <w:szCs w:val="28"/>
          <w:highlight w:val="none"/>
        </w:rPr>
      </w:pPr>
      <w:r>
        <w:rPr>
          <w:rFonts w:eastAsia="Calibri"/>
          <w:szCs w:val="28"/>
          <w:highlight w:val="none"/>
          <w:lang w:val="ru-RU"/>
        </w:rPr>
        <w:t xml:space="preserve">- поддержание достигнутых уровней заработной платы отдельных категорий работников, определенных указами Президента Российской Федерации;</w:t>
      </w:r>
      <w:r>
        <w:rPr>
          <w:rFonts w:eastAsia="Calibri"/>
          <w:szCs w:val="28"/>
          <w:highlight w:val="none"/>
        </w:rPr>
      </w:r>
      <w:r>
        <w:rPr>
          <w:rFonts w:eastAsia="Calibri"/>
          <w:szCs w:val="28"/>
          <w:highlight w:val="none"/>
        </w:rPr>
      </w:r>
    </w:p>
    <w:p>
      <w:pPr>
        <w:pStyle w:val="951"/>
        <w:contextualSpacing w:val="0"/>
        <w:ind w:left="0" w:firstLine="709"/>
        <w:jc w:val="both"/>
        <w:rPr>
          <w:rFonts w:eastAsia="Calibri"/>
          <w:szCs w:val="28"/>
          <w:highlight w:val="none"/>
        </w:rPr>
      </w:pPr>
      <w:r>
        <w:rPr>
          <w:rFonts w:eastAsia="Calibri"/>
          <w:szCs w:val="28"/>
          <w:highlight w:val="none"/>
          <w:lang w:val="ru-RU"/>
        </w:rPr>
        <w:t xml:space="preserve">- проведение ежегодной индексации заработной платы иных категорий работников организаций бюджетной сферы.</w:t>
      </w:r>
      <w:r>
        <w:rPr>
          <w:rFonts w:eastAsia="Calibri"/>
          <w:szCs w:val="28"/>
          <w:highlight w:val="none"/>
        </w:rPr>
      </w:r>
      <w:r>
        <w:rPr>
          <w:rFonts w:eastAsia="Calibri"/>
          <w:szCs w:val="28"/>
          <w:highlight w:val="none"/>
        </w:rPr>
      </w:r>
    </w:p>
    <w:p>
      <w:pPr>
        <w:ind w:firstLine="709"/>
        <w:jc w:val="both"/>
        <w:rPr>
          <w:szCs w:val="28"/>
          <w:highlight w:val="none"/>
        </w:rPr>
      </w:pPr>
      <w:r>
        <w:rPr>
          <w:szCs w:val="28"/>
          <w:highlight w:val="none"/>
        </w:rPr>
        <w:t xml:space="preserve">Во внебюджетном секторе рост заработной платы в целом будет определяться динамикой производительности труда и предложением трудовых ресурсов на рынке труда при сохранении спроса на них.</w:t>
      </w: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firstLine="709"/>
        <w:jc w:val="both"/>
        <w:rPr>
          <w:szCs w:val="28"/>
          <w:highlight w:val="none"/>
        </w:rPr>
      </w:pPr>
      <w:r>
        <w:rPr>
          <w:szCs w:val="28"/>
          <w:highlight w:val="none"/>
        </w:rPr>
        <w:t xml:space="preserve">Так, к 2027 году размер номинальной заработной платы достигнет               94,7 тыс. рублей, что выше на 25,2 процента уровня 2024 года (по базовому варианту прогноза). Рост реальной заработной платы составит 10,2 процента.</w:t>
      </w: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firstLine="708"/>
        <w:jc w:val="both"/>
        <w:rPr>
          <w:szCs w:val="28"/>
          <w:highlight w:val="none"/>
        </w:rPr>
      </w:pPr>
      <w:r>
        <w:rPr>
          <w:szCs w:val="28"/>
          <w:highlight w:val="none"/>
        </w:rPr>
        <w:t xml:space="preserve">Среднемесячная начисленная заработная плата наемных работников в организациях, у индивидуальных предпринимателей</w:t>
      </w:r>
      <w:r>
        <w:rPr>
          <w:szCs w:val="28"/>
          <w:highlight w:val="none"/>
        </w:rPr>
        <w:t xml:space="preserve"> и физ</w:t>
      </w:r>
      <w:r>
        <w:rPr>
          <w:szCs w:val="28"/>
          <w:highlight w:val="none"/>
        </w:rPr>
        <w:t xml:space="preserve">ических лиц в              2024 году, по предварительной оценке, составит 60,9 тыс. рублей.                                  В последующие годы она продолжит рост с 65,9 тыс. рублей в 2025 году                    до 76,2 тыс. рублей в 2027 году (8,2 процен</w:t>
      </w:r>
      <w:r>
        <w:rPr>
          <w:szCs w:val="28"/>
          <w:highlight w:val="none"/>
        </w:rPr>
        <w:t xml:space="preserve">та и 25,2 процента соответственно                 к уровню 2024 года). Данный рост обусловлен увеличением заработной платы по фондообразующим видам экономической деятельности с высоким уровнем оплаты труда, исполнением майских указов Президента Российской </w:t>
      </w:r>
      <w:r>
        <w:rPr>
          <w:szCs w:val="28"/>
          <w:highlight w:val="none"/>
        </w:rPr>
        <w:t xml:space="preserve">Федерации 2012 года в части достижения целевых показателей оплаты труда отдельных категорий работников.</w:t>
      </w: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firstLine="708"/>
        <w:jc w:val="both"/>
        <w:rPr>
          <w:szCs w:val="28"/>
          <w:highlight w:val="none"/>
        </w:rPr>
      </w:pPr>
      <w:r>
        <w:rPr>
          <w:szCs w:val="28"/>
          <w:highlight w:val="none"/>
        </w:rPr>
        <w:t xml:space="preserve">Согласно уточненному прогнозу, фонд заработной платы в области продолжит увеличиваться с 36,9 млрд. рублей в 2024 году до 46,8 млрд. рублей в 2027 году. </w:t>
      </w: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firstLine="708"/>
        <w:jc w:val="both"/>
        <w:rPr>
          <w:szCs w:val="28"/>
          <w:highlight w:val="none"/>
        </w:rPr>
      </w:pPr>
      <w:r>
        <w:rPr>
          <w:szCs w:val="28"/>
          <w:highlight w:val="none"/>
        </w:rPr>
        <w:t xml:space="preserve">В 2024 году ожидается индекс производительности труда 96,4 процента с постепенным ростом к 2027 году до 5,2 процента за счет реализации крупных инвестиционных проектов.</w:t>
      </w: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10773"/>
        <w:tabs>
          <w:tab w:val="left" w:pos="10773" w:leader="none"/>
        </w:tabs>
        <w:rPr>
          <w:szCs w:val="28"/>
          <w:highlight w:val="yellow"/>
        </w:rPr>
      </w:pPr>
      <w:r>
        <w:rPr>
          <w:szCs w:val="28"/>
          <w:highlight w:val="yellow"/>
        </w:rPr>
      </w:r>
      <w:r>
        <w:rPr>
          <w:szCs w:val="28"/>
          <w:highlight w:val="yellow"/>
        </w:rPr>
      </w:r>
      <w:r>
        <w:rPr>
          <w:szCs w:val="28"/>
          <w:highlight w:val="yellow"/>
        </w:rPr>
      </w:r>
    </w:p>
    <w:p>
      <w:pPr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MS Mincho">
    <w:panose1 w:val="02020609040205080304"/>
  </w:font>
  <w:font w:name="Tahoma">
    <w:panose1 w:val="020B0604030504040204"/>
  </w:font>
  <w:font w:name="Courier New">
    <w:panose1 w:val="02070309020205020404"/>
  </w:font>
  <w:font w:name="Roboto">
    <w:panose1 w:val="02000000000000000000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  <w:jc w:val="center"/>
    </w:pPr>
    <w:fldSimple w:instr="PAGE \* MERGEFORMAT">
      <w:r>
        <w:rPr>
          <w:sz w:val="24"/>
          <w:szCs w:val="24"/>
        </w:rPr>
        <w:t xml:space="preserve">1</w:t>
      </w:r>
    </w:fldSimple>
    <w:r>
      <w:rPr>
        <w:sz w:val="24"/>
        <w:szCs w:val="24"/>
      </w:rPr>
    </w:r>
    <w:r>
      <w:rPr>
        <w:sz w:val="24"/>
        <w:szCs w:val="24"/>
      </w:rPr>
    </w:r>
    <w:r/>
  </w:p>
  <w:p>
    <w:pPr>
      <w:pStyle w:val="74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cs="Times New Roman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  <w:rPr>
        <w:rFonts w:cs="Times New Roman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  <w:rPr>
        <w:rFonts w:cs="Times New Roman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  <w:rPr>
        <w:rFonts w:cs="Times New Roman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  <w:rPr>
        <w:rFonts w:cs="Times New Roman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  <w:rPr>
        <w:rFonts w:cs="Times New Roman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  <w:rPr>
        <w:rFonts w:cs="Times New Roman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  <w:rPr>
        <w:rFonts w:cs="Times New Roman"/>
        <w:color w:val="00000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48" w:hanging="1008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cs="Times New Roman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  <w:rPr>
        <w:rFonts w:cs="Times New Roman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  <w:rPr>
        <w:rFonts w:cs="Times New Roman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  <w:rPr>
        <w:rFonts w:cs="Times New Roman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  <w:rPr>
        <w:rFonts w:cs="Times New Roman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  <w:rPr>
        <w:rFonts w:cs="Times New Roman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  <w:rPr>
        <w:rFonts w:cs="Times New Roman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  <w:rPr>
        <w:rFonts w:cs="Times New Roman"/>
        <w:color w:val="00000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 w:default="1">
    <w:name w:val="Normal"/>
    <w:qFormat/>
    <w:rPr>
      <w:rFonts w:ascii="Times New Roman" w:hAnsi="Times New Roman" w:cs="Times New Roman"/>
      <w:sz w:val="28"/>
    </w:rPr>
  </w:style>
  <w:style w:type="paragraph" w:styleId="697">
    <w:name w:val="Heading 1"/>
    <w:basedOn w:val="696"/>
    <w:next w:val="696"/>
    <w:link w:val="72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8">
    <w:name w:val="Heading 2"/>
    <w:basedOn w:val="696"/>
    <w:next w:val="696"/>
    <w:link w:val="893"/>
    <w:uiPriority w:val="9"/>
    <w:qFormat/>
    <w:pPr>
      <w:jc w:val="right"/>
      <w:keepNext/>
      <w:outlineLvl w:val="1"/>
    </w:pPr>
    <w:rPr>
      <w:sz w:val="24"/>
      <w:szCs w:val="24"/>
      <w:lang w:val="en-US"/>
    </w:rPr>
  </w:style>
  <w:style w:type="paragraph" w:styleId="699">
    <w:name w:val="Heading 3"/>
    <w:basedOn w:val="696"/>
    <w:next w:val="696"/>
    <w:link w:val="956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en-US" w:eastAsia="en-US"/>
    </w:rPr>
  </w:style>
  <w:style w:type="paragraph" w:styleId="700">
    <w:name w:val="Heading 4"/>
    <w:basedOn w:val="696"/>
    <w:next w:val="696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696"/>
    <w:next w:val="696"/>
    <w:link w:val="72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696"/>
    <w:next w:val="696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696"/>
    <w:next w:val="696"/>
    <w:link w:val="7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696"/>
    <w:next w:val="696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696"/>
    <w:next w:val="696"/>
    <w:link w:val="7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character" w:styleId="709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10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11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12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13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15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16" w:customStyle="1">
    <w:name w:val="Title Char"/>
    <w:uiPriority w:val="10"/>
    <w:rPr>
      <w:sz w:val="48"/>
      <w:szCs w:val="48"/>
    </w:rPr>
  </w:style>
  <w:style w:type="character" w:styleId="717" w:customStyle="1">
    <w:name w:val="Subtitle Char"/>
    <w:uiPriority w:val="11"/>
    <w:rPr>
      <w:sz w:val="24"/>
      <w:szCs w:val="24"/>
    </w:rPr>
  </w:style>
  <w:style w:type="character" w:styleId="718" w:customStyle="1">
    <w:name w:val="Quote Char"/>
    <w:uiPriority w:val="29"/>
    <w:rPr>
      <w:i/>
    </w:rPr>
  </w:style>
  <w:style w:type="character" w:styleId="719" w:customStyle="1">
    <w:name w:val="Intense Quote Char"/>
    <w:uiPriority w:val="30"/>
    <w:rPr>
      <w:i/>
    </w:rPr>
  </w:style>
  <w:style w:type="character" w:styleId="720" w:customStyle="1">
    <w:name w:val="Footnote Text Char"/>
    <w:uiPriority w:val="99"/>
    <w:rPr>
      <w:sz w:val="18"/>
    </w:rPr>
  </w:style>
  <w:style w:type="character" w:styleId="721" w:customStyle="1">
    <w:name w:val="Endnote Text Char"/>
    <w:uiPriority w:val="99"/>
    <w:rPr>
      <w:sz w:val="20"/>
    </w:rPr>
  </w:style>
  <w:style w:type="character" w:styleId="722" w:customStyle="1">
    <w:name w:val="Заголовок 1 Знак"/>
    <w:link w:val="697"/>
    <w:uiPriority w:val="9"/>
    <w:rPr>
      <w:rFonts w:ascii="Arial" w:hAnsi="Arial" w:eastAsia="Arial" w:cs="Arial"/>
      <w:sz w:val="40"/>
      <w:szCs w:val="40"/>
    </w:rPr>
  </w:style>
  <w:style w:type="character" w:styleId="723" w:customStyle="1">
    <w:name w:val="Heading 2 Char"/>
    <w:uiPriority w:val="9"/>
    <w:rPr>
      <w:rFonts w:ascii="Arial" w:hAnsi="Arial" w:eastAsia="Arial" w:cs="Arial"/>
      <w:sz w:val="34"/>
    </w:rPr>
  </w:style>
  <w:style w:type="character" w:styleId="724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Заголовок 4 Знак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Заголовок 5 Знак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Заголовок 6 Знак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Заголовок 7 Знак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Заголовок 8 Знак"/>
    <w:link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Заголовок 9 Знак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List Paragraph"/>
    <w:basedOn w:val="696"/>
    <w:uiPriority w:val="34"/>
    <w:qFormat/>
    <w:pPr>
      <w:contextualSpacing/>
      <w:ind w:left="720"/>
    </w:pPr>
  </w:style>
  <w:style w:type="paragraph" w:styleId="732">
    <w:name w:val="No Spacing"/>
    <w:uiPriority w:val="1"/>
    <w:qFormat/>
    <w:rPr>
      <w:lang w:eastAsia="zh-CN"/>
    </w:rPr>
  </w:style>
  <w:style w:type="paragraph" w:styleId="733">
    <w:name w:val="Title"/>
    <w:basedOn w:val="696"/>
    <w:next w:val="696"/>
    <w:link w:val="7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4" w:customStyle="1">
    <w:name w:val="Заголовок Знак"/>
    <w:link w:val="733"/>
    <w:uiPriority w:val="10"/>
    <w:rPr>
      <w:sz w:val="48"/>
      <w:szCs w:val="48"/>
    </w:rPr>
  </w:style>
  <w:style w:type="paragraph" w:styleId="735">
    <w:name w:val="Subtitle"/>
    <w:basedOn w:val="696"/>
    <w:next w:val="696"/>
    <w:link w:val="736"/>
    <w:uiPriority w:val="11"/>
    <w:qFormat/>
    <w:pPr>
      <w:spacing w:before="200" w:after="200"/>
    </w:pPr>
    <w:rPr>
      <w:sz w:val="24"/>
      <w:szCs w:val="24"/>
    </w:rPr>
  </w:style>
  <w:style w:type="character" w:styleId="736" w:customStyle="1">
    <w:name w:val="Подзаголовок Знак"/>
    <w:link w:val="735"/>
    <w:uiPriority w:val="11"/>
    <w:rPr>
      <w:sz w:val="24"/>
      <w:szCs w:val="24"/>
    </w:rPr>
  </w:style>
  <w:style w:type="paragraph" w:styleId="737">
    <w:name w:val="Quote"/>
    <w:basedOn w:val="696"/>
    <w:next w:val="696"/>
    <w:link w:val="738"/>
    <w:uiPriority w:val="29"/>
    <w:qFormat/>
    <w:pPr>
      <w:ind w:left="720" w:right="720"/>
    </w:pPr>
    <w:rPr>
      <w:i/>
    </w:rPr>
  </w:style>
  <w:style w:type="character" w:styleId="738" w:customStyle="1">
    <w:name w:val="Цитата 2 Знак"/>
    <w:link w:val="737"/>
    <w:uiPriority w:val="29"/>
    <w:rPr>
      <w:i/>
    </w:rPr>
  </w:style>
  <w:style w:type="paragraph" w:styleId="739">
    <w:name w:val="Intense Quote"/>
    <w:basedOn w:val="696"/>
    <w:next w:val="696"/>
    <w:link w:val="74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 w:customStyle="1">
    <w:name w:val="Выделенная цитата Знак"/>
    <w:link w:val="739"/>
    <w:uiPriority w:val="30"/>
    <w:rPr>
      <w:i/>
    </w:rPr>
  </w:style>
  <w:style w:type="paragraph" w:styleId="741">
    <w:name w:val="Header"/>
    <w:basedOn w:val="696"/>
    <w:link w:val="898"/>
    <w:uiPriority w:val="99"/>
    <w:pPr>
      <w:tabs>
        <w:tab w:val="center" w:pos="4677" w:leader="none"/>
        <w:tab w:val="right" w:pos="9355" w:leader="none"/>
      </w:tabs>
    </w:pPr>
    <w:rPr>
      <w:sz w:val="20"/>
      <w:lang w:val="en-US"/>
    </w:rPr>
  </w:style>
  <w:style w:type="character" w:styleId="742" w:customStyle="1">
    <w:name w:val="Header Char"/>
    <w:uiPriority w:val="99"/>
  </w:style>
  <w:style w:type="paragraph" w:styleId="743">
    <w:name w:val="Footer"/>
    <w:basedOn w:val="696"/>
    <w:link w:val="899"/>
    <w:uiPriority w:val="99"/>
    <w:pPr>
      <w:tabs>
        <w:tab w:val="center" w:pos="4677" w:leader="none"/>
        <w:tab w:val="right" w:pos="9355" w:leader="none"/>
      </w:tabs>
    </w:pPr>
    <w:rPr>
      <w:sz w:val="20"/>
      <w:lang w:val="en-US"/>
    </w:rPr>
  </w:style>
  <w:style w:type="character" w:styleId="744" w:customStyle="1">
    <w:name w:val="Footer Char"/>
    <w:uiPriority w:val="99"/>
  </w:style>
  <w:style w:type="paragraph" w:styleId="745">
    <w:name w:val="Caption"/>
    <w:basedOn w:val="696"/>
    <w:next w:val="696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46" w:customStyle="1">
    <w:name w:val="Caption Char"/>
    <w:uiPriority w:val="99"/>
  </w:style>
  <w:style w:type="table" w:styleId="747">
    <w:name w:val="Table Grid"/>
    <w:basedOn w:val="707"/>
    <w:uiPriority w:val="59"/>
    <w:rPr>
      <w:rFonts w:ascii="Times New Roman" w:hAnsi="Times New Roman" w:cs="Times New Roman"/>
    </w:rPr>
    <w:tblPr/>
  </w:style>
  <w:style w:type="table" w:styleId="74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3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3">
    <w:name w:val="Hyperlink"/>
    <w:uiPriority w:val="99"/>
    <w:unhideWhenUsed/>
    <w:rPr>
      <w:rFonts w:cs="Times New Roman"/>
      <w:color w:val="0000ff"/>
      <w:u w:val="single"/>
    </w:rPr>
  </w:style>
  <w:style w:type="paragraph" w:styleId="874">
    <w:name w:val="footnote text"/>
    <w:basedOn w:val="696"/>
    <w:link w:val="875"/>
    <w:uiPriority w:val="99"/>
    <w:semiHidden/>
    <w:unhideWhenUsed/>
    <w:pPr>
      <w:spacing w:after="40"/>
    </w:pPr>
    <w:rPr>
      <w:sz w:val="18"/>
    </w:rPr>
  </w:style>
  <w:style w:type="character" w:styleId="875" w:customStyle="1">
    <w:name w:val="Текст сноски Знак"/>
    <w:link w:val="874"/>
    <w:uiPriority w:val="99"/>
    <w:rPr>
      <w:sz w:val="18"/>
    </w:rPr>
  </w:style>
  <w:style w:type="character" w:styleId="876">
    <w:name w:val="footnote reference"/>
    <w:uiPriority w:val="99"/>
    <w:unhideWhenUsed/>
    <w:rPr>
      <w:vertAlign w:val="superscript"/>
    </w:rPr>
  </w:style>
  <w:style w:type="paragraph" w:styleId="877">
    <w:name w:val="endnote text"/>
    <w:basedOn w:val="696"/>
    <w:link w:val="878"/>
    <w:uiPriority w:val="99"/>
    <w:semiHidden/>
    <w:unhideWhenUsed/>
    <w:rPr>
      <w:sz w:val="20"/>
    </w:rPr>
  </w:style>
  <w:style w:type="character" w:styleId="878" w:customStyle="1">
    <w:name w:val="Текст концевой сноски Знак"/>
    <w:link w:val="877"/>
    <w:uiPriority w:val="99"/>
    <w:rPr>
      <w:sz w:val="20"/>
    </w:rPr>
  </w:style>
  <w:style w:type="character" w:styleId="879">
    <w:name w:val="endnote reference"/>
    <w:uiPriority w:val="99"/>
    <w:semiHidden/>
    <w:unhideWhenUsed/>
    <w:rPr>
      <w:vertAlign w:val="superscript"/>
    </w:rPr>
  </w:style>
  <w:style w:type="paragraph" w:styleId="880">
    <w:name w:val="toc 1"/>
    <w:basedOn w:val="696"/>
    <w:next w:val="696"/>
    <w:uiPriority w:val="39"/>
    <w:unhideWhenUsed/>
    <w:pPr>
      <w:spacing w:after="57"/>
    </w:pPr>
  </w:style>
  <w:style w:type="paragraph" w:styleId="881">
    <w:name w:val="toc 2"/>
    <w:basedOn w:val="696"/>
    <w:next w:val="696"/>
    <w:uiPriority w:val="39"/>
    <w:unhideWhenUsed/>
    <w:pPr>
      <w:ind w:left="283"/>
      <w:spacing w:after="57"/>
    </w:pPr>
  </w:style>
  <w:style w:type="paragraph" w:styleId="882">
    <w:name w:val="toc 3"/>
    <w:basedOn w:val="696"/>
    <w:next w:val="696"/>
    <w:uiPriority w:val="39"/>
    <w:unhideWhenUsed/>
    <w:pPr>
      <w:ind w:left="567"/>
      <w:spacing w:after="57"/>
    </w:pPr>
  </w:style>
  <w:style w:type="paragraph" w:styleId="883">
    <w:name w:val="toc 4"/>
    <w:basedOn w:val="696"/>
    <w:next w:val="696"/>
    <w:uiPriority w:val="39"/>
    <w:unhideWhenUsed/>
    <w:pPr>
      <w:ind w:left="850"/>
      <w:spacing w:after="57"/>
    </w:pPr>
  </w:style>
  <w:style w:type="paragraph" w:styleId="884">
    <w:name w:val="toc 5"/>
    <w:basedOn w:val="696"/>
    <w:next w:val="696"/>
    <w:uiPriority w:val="39"/>
    <w:unhideWhenUsed/>
    <w:pPr>
      <w:ind w:left="1134"/>
      <w:spacing w:after="57"/>
    </w:pPr>
  </w:style>
  <w:style w:type="paragraph" w:styleId="885">
    <w:name w:val="toc 6"/>
    <w:basedOn w:val="696"/>
    <w:next w:val="696"/>
    <w:uiPriority w:val="39"/>
    <w:unhideWhenUsed/>
    <w:pPr>
      <w:ind w:left="1417"/>
      <w:spacing w:after="57"/>
    </w:pPr>
  </w:style>
  <w:style w:type="paragraph" w:styleId="886">
    <w:name w:val="toc 7"/>
    <w:basedOn w:val="696"/>
    <w:next w:val="696"/>
    <w:uiPriority w:val="39"/>
    <w:unhideWhenUsed/>
    <w:pPr>
      <w:ind w:left="1701"/>
      <w:spacing w:after="57"/>
    </w:pPr>
  </w:style>
  <w:style w:type="paragraph" w:styleId="887">
    <w:name w:val="toc 8"/>
    <w:basedOn w:val="696"/>
    <w:next w:val="696"/>
    <w:uiPriority w:val="39"/>
    <w:unhideWhenUsed/>
    <w:pPr>
      <w:ind w:left="1984"/>
      <w:spacing w:after="57"/>
    </w:pPr>
  </w:style>
  <w:style w:type="paragraph" w:styleId="888">
    <w:name w:val="toc 9"/>
    <w:basedOn w:val="696"/>
    <w:next w:val="696"/>
    <w:uiPriority w:val="39"/>
    <w:unhideWhenUsed/>
    <w:pPr>
      <w:ind w:left="2268"/>
      <w:spacing w:after="57"/>
    </w:pPr>
  </w:style>
  <w:style w:type="paragraph" w:styleId="889">
    <w:name w:val="TOC Heading"/>
    <w:uiPriority w:val="39"/>
    <w:unhideWhenUsed/>
    <w:rPr>
      <w:lang w:eastAsia="zh-CN"/>
    </w:rPr>
  </w:style>
  <w:style w:type="paragraph" w:styleId="890">
    <w:name w:val="table of figures"/>
    <w:basedOn w:val="696"/>
    <w:next w:val="696"/>
    <w:uiPriority w:val="99"/>
    <w:unhideWhenUsed/>
  </w:style>
  <w:style w:type="paragraph" w:styleId="891" w:customStyle="1">
    <w:name w:val="Заголовок 1;Subhead A"/>
    <w:basedOn w:val="696"/>
    <w:next w:val="696"/>
    <w:link w:val="892"/>
    <w:uiPriority w:val="9"/>
    <w:qFormat/>
    <w:pPr>
      <w:jc w:val="center"/>
      <w:keepNext/>
      <w:outlineLvl w:val="0"/>
    </w:pPr>
    <w:rPr>
      <w:b/>
      <w:spacing w:val="60"/>
      <w:sz w:val="20"/>
      <w:lang w:val="en-US"/>
    </w:rPr>
  </w:style>
  <w:style w:type="character" w:styleId="892" w:customStyle="1">
    <w:name w:val="Заголовок 1 Знак;Subhead A Знак"/>
    <w:link w:val="891"/>
    <w:uiPriority w:val="9"/>
    <w:rPr>
      <w:rFonts w:ascii="Times New Roman" w:hAnsi="Times New Roman" w:cs="Times New Roman"/>
      <w:b/>
      <w:spacing w:val="60"/>
      <w:sz w:val="20"/>
      <w:szCs w:val="20"/>
      <w:lang w:val="en-US" w:eastAsia="ru-RU"/>
    </w:rPr>
  </w:style>
  <w:style w:type="character" w:styleId="893" w:customStyle="1">
    <w:name w:val="Заголовок 2 Знак"/>
    <w:link w:val="698"/>
    <w:uiPriority w:val="9"/>
    <w:rPr>
      <w:rFonts w:ascii="Times New Roman" w:hAnsi="Times New Roman" w:cs="Times New Roman"/>
      <w:sz w:val="24"/>
      <w:szCs w:val="24"/>
      <w:lang w:val="en-US" w:eastAsia="ru-RU"/>
    </w:rPr>
  </w:style>
  <w:style w:type="paragraph" w:styleId="894" w:customStyle="1">
    <w:name w:val="Знак Знак Char Char Char Char Char Знак Знак"/>
    <w:basedOn w:val="696"/>
    <w:pPr>
      <w:jc w:val="right"/>
      <w:spacing w:after="160" w:line="240" w:lineRule="exact"/>
      <w:widowControl w:val="off"/>
    </w:pPr>
    <w:rPr>
      <w:sz w:val="20"/>
      <w:lang w:val="en-GB" w:eastAsia="en-US"/>
    </w:rPr>
  </w:style>
  <w:style w:type="paragraph" w:styleId="895" w:customStyle="1">
    <w:name w:val="Обычный (веб);Обычный (Web)1 Знак;Обычный (Web);Обычный (Web)1"/>
    <w:basedOn w:val="696"/>
    <w:uiPriority w:val="99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896">
    <w:name w:val="Body Text 2"/>
    <w:basedOn w:val="696"/>
    <w:link w:val="897"/>
    <w:uiPriority w:val="99"/>
    <w:pPr>
      <w:spacing w:after="120" w:line="480" w:lineRule="auto"/>
    </w:pPr>
    <w:rPr>
      <w:sz w:val="20"/>
      <w:lang w:val="en-US"/>
    </w:rPr>
  </w:style>
  <w:style w:type="character" w:styleId="897" w:customStyle="1">
    <w:name w:val="Основной текст 2 Знак"/>
    <w:link w:val="896"/>
    <w:uiPriority w:val="99"/>
    <w:rPr>
      <w:rFonts w:ascii="Times New Roman" w:hAnsi="Times New Roman" w:cs="Times New Roman"/>
      <w:sz w:val="20"/>
      <w:szCs w:val="20"/>
      <w:lang w:val="en-US" w:eastAsia="ru-RU"/>
    </w:rPr>
  </w:style>
  <w:style w:type="character" w:styleId="898" w:customStyle="1">
    <w:name w:val="Верхний колонтитул Знак"/>
    <w:link w:val="741"/>
    <w:uiPriority w:val="99"/>
    <w:rPr>
      <w:rFonts w:ascii="Times New Roman" w:hAnsi="Times New Roman" w:cs="Times New Roman"/>
      <w:sz w:val="20"/>
      <w:szCs w:val="20"/>
      <w:lang w:val="en-US" w:eastAsia="ru-RU"/>
    </w:rPr>
  </w:style>
  <w:style w:type="character" w:styleId="899" w:customStyle="1">
    <w:name w:val="Нижний колонтитул Знак"/>
    <w:link w:val="743"/>
    <w:uiPriority w:val="99"/>
    <w:rPr>
      <w:rFonts w:ascii="Times New Roman" w:hAnsi="Times New Roman" w:cs="Times New Roman"/>
      <w:sz w:val="20"/>
      <w:szCs w:val="20"/>
      <w:lang w:val="en-US" w:eastAsia="ru-RU"/>
    </w:rPr>
  </w:style>
  <w:style w:type="paragraph" w:styleId="900" w:customStyle="1">
    <w:name w:val="ConsPlusNormal"/>
    <w:pPr>
      <w:widowControl w:val="off"/>
    </w:pPr>
    <w:rPr>
      <w:sz w:val="22"/>
      <w:szCs w:val="22"/>
    </w:rPr>
  </w:style>
  <w:style w:type="paragraph" w:styleId="901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02" w:customStyle="1">
    <w:name w:val="ConsPlusTitle"/>
    <w:pPr>
      <w:widowControl w:val="off"/>
    </w:pPr>
    <w:rPr>
      <w:b/>
      <w:bCs/>
      <w:sz w:val="22"/>
      <w:szCs w:val="22"/>
    </w:rPr>
  </w:style>
  <w:style w:type="paragraph" w:styleId="903" w:customStyle="1">
    <w:name w:val="ConsPlusCell"/>
    <w:pPr>
      <w:widowControl w:val="off"/>
    </w:pPr>
    <w:rPr>
      <w:sz w:val="22"/>
      <w:szCs w:val="22"/>
    </w:rPr>
  </w:style>
  <w:style w:type="character" w:styleId="904">
    <w:name w:val="FollowedHyperlink"/>
    <w:uiPriority w:val="99"/>
    <w:unhideWhenUsed/>
    <w:rPr>
      <w:rFonts w:cs="Times New Roman"/>
      <w:color w:val="800080"/>
      <w:u w:val="single"/>
    </w:rPr>
  </w:style>
  <w:style w:type="paragraph" w:styleId="905" w:customStyle="1">
    <w:name w:val="xl65"/>
    <w:basedOn w:val="6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906" w:customStyle="1">
    <w:name w:val="xl66"/>
    <w:basedOn w:val="6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907" w:customStyle="1">
    <w:name w:val="xl67"/>
    <w:basedOn w:val="6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908" w:customStyle="1">
    <w:name w:val="xl68"/>
    <w:basedOn w:val="6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2"/>
      <w:szCs w:val="22"/>
    </w:rPr>
  </w:style>
  <w:style w:type="paragraph" w:styleId="909" w:customStyle="1">
    <w:name w:val="xl69"/>
    <w:basedOn w:val="6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910" w:customStyle="1">
    <w:name w:val="xl70"/>
    <w:basedOn w:val="696"/>
    <w:pPr>
      <w:spacing w:before="100" w:beforeAutospacing="1" w:after="100" w:afterAutospacing="1"/>
    </w:pPr>
    <w:rPr>
      <w:sz w:val="22"/>
      <w:szCs w:val="22"/>
    </w:rPr>
  </w:style>
  <w:style w:type="paragraph" w:styleId="911" w:customStyle="1">
    <w:name w:val="xl71"/>
    <w:basedOn w:val="6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912" w:customStyle="1">
    <w:name w:val="xl72"/>
    <w:basedOn w:val="696"/>
    <w:pPr>
      <w:jc w:val="center"/>
      <w:spacing w:before="100" w:beforeAutospacing="1" w:after="100" w:afterAutospacing="1"/>
    </w:pPr>
    <w:rPr>
      <w:sz w:val="22"/>
      <w:szCs w:val="22"/>
    </w:rPr>
  </w:style>
  <w:style w:type="paragraph" w:styleId="913" w:customStyle="1">
    <w:name w:val="xl73"/>
    <w:basedOn w:val="6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914" w:customStyle="1">
    <w:name w:val="xl74"/>
    <w:basedOn w:val="6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915" w:customStyle="1">
    <w:name w:val="xl75"/>
    <w:basedOn w:val="6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916" w:customStyle="1">
    <w:name w:val="xl76"/>
    <w:basedOn w:val="6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2"/>
      <w:szCs w:val="22"/>
    </w:rPr>
  </w:style>
  <w:style w:type="paragraph" w:styleId="917" w:customStyle="1">
    <w:name w:val="xl77"/>
    <w:basedOn w:val="6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2"/>
      <w:szCs w:val="22"/>
    </w:rPr>
  </w:style>
  <w:style w:type="paragraph" w:styleId="918" w:customStyle="1">
    <w:name w:val="xl78"/>
    <w:basedOn w:val="6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2"/>
      <w:szCs w:val="22"/>
    </w:rPr>
  </w:style>
  <w:style w:type="paragraph" w:styleId="919" w:customStyle="1">
    <w:name w:val="xl79"/>
    <w:basedOn w:val="6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2"/>
      <w:szCs w:val="22"/>
    </w:rPr>
  </w:style>
  <w:style w:type="paragraph" w:styleId="920" w:customStyle="1">
    <w:name w:val="xl80"/>
    <w:basedOn w:val="696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Arial" w:hAnsi="Arial"/>
      <w:sz w:val="24"/>
      <w:szCs w:val="24"/>
    </w:rPr>
  </w:style>
  <w:style w:type="paragraph" w:styleId="921" w:customStyle="1">
    <w:name w:val="xl81"/>
    <w:basedOn w:val="6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922" w:customStyle="1">
    <w:name w:val="xl82"/>
    <w:basedOn w:val="6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color w:val="000000"/>
      <w:sz w:val="22"/>
      <w:szCs w:val="22"/>
    </w:rPr>
  </w:style>
  <w:style w:type="paragraph" w:styleId="923" w:customStyle="1">
    <w:name w:val="xl83"/>
    <w:basedOn w:val="69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  <w:color w:val="000000"/>
      <w:sz w:val="22"/>
      <w:szCs w:val="22"/>
    </w:rPr>
  </w:style>
  <w:style w:type="paragraph" w:styleId="924" w:customStyle="1">
    <w:name w:val="xl84"/>
    <w:basedOn w:val="69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2"/>
      <w:szCs w:val="22"/>
    </w:rPr>
  </w:style>
  <w:style w:type="paragraph" w:styleId="925" w:customStyle="1">
    <w:name w:val="xl85"/>
    <w:basedOn w:val="6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color w:val="000000"/>
      <w:sz w:val="22"/>
      <w:szCs w:val="22"/>
    </w:rPr>
  </w:style>
  <w:style w:type="paragraph" w:styleId="926" w:customStyle="1">
    <w:name w:val="xl86"/>
    <w:basedOn w:val="69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2"/>
      <w:szCs w:val="22"/>
    </w:rPr>
  </w:style>
  <w:style w:type="paragraph" w:styleId="927" w:customStyle="1">
    <w:name w:val="xl87"/>
    <w:basedOn w:val="696"/>
    <w:pPr>
      <w:jc w:val="center"/>
      <w:spacing w:before="100" w:beforeAutospacing="1" w:after="100" w:afterAutospacing="1"/>
    </w:pPr>
    <w:rPr>
      <w:sz w:val="22"/>
      <w:szCs w:val="22"/>
    </w:rPr>
  </w:style>
  <w:style w:type="paragraph" w:styleId="928" w:customStyle="1">
    <w:name w:val="xl88"/>
    <w:basedOn w:val="696"/>
    <w:pPr>
      <w:jc w:val="center"/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styleId="929">
    <w:name w:val="Balloon Text"/>
    <w:basedOn w:val="696"/>
    <w:link w:val="930"/>
    <w:uiPriority w:val="99"/>
    <w:rPr>
      <w:rFonts w:ascii="Tahoma" w:hAnsi="Tahoma"/>
      <w:sz w:val="16"/>
      <w:szCs w:val="16"/>
      <w:lang w:val="en-US"/>
    </w:rPr>
  </w:style>
  <w:style w:type="character" w:styleId="930" w:customStyle="1">
    <w:name w:val="Текст выноски Знак"/>
    <w:link w:val="929"/>
    <w:uiPriority w:val="99"/>
    <w:rPr>
      <w:rFonts w:ascii="Tahoma" w:hAnsi="Tahoma" w:cs="Tahoma"/>
      <w:sz w:val="16"/>
      <w:szCs w:val="16"/>
      <w:lang w:val="en-US" w:eastAsia="ru-RU"/>
    </w:rPr>
  </w:style>
  <w:style w:type="paragraph" w:styleId="931">
    <w:name w:val="Body Text Indent"/>
    <w:basedOn w:val="696"/>
    <w:link w:val="932"/>
    <w:uiPriority w:val="99"/>
    <w:pPr>
      <w:ind w:left="283"/>
      <w:spacing w:after="120"/>
    </w:pPr>
    <w:rPr>
      <w:sz w:val="20"/>
      <w:lang w:val="en-US"/>
    </w:rPr>
  </w:style>
  <w:style w:type="character" w:styleId="932" w:customStyle="1">
    <w:name w:val="Основной текст с отступом Знак"/>
    <w:link w:val="931"/>
    <w:uiPriority w:val="99"/>
    <w:rPr>
      <w:rFonts w:ascii="Times New Roman" w:hAnsi="Times New Roman" w:cs="Times New Roman"/>
      <w:sz w:val="20"/>
      <w:szCs w:val="20"/>
      <w:lang w:val="en-US" w:eastAsia="ru-RU"/>
    </w:rPr>
  </w:style>
  <w:style w:type="paragraph" w:styleId="933" w:customStyle="1">
    <w:name w:val="Heading"/>
    <w:uiPriority w:val="99"/>
    <w:pPr>
      <w:widowControl w:val="off"/>
    </w:pPr>
    <w:rPr>
      <w:rFonts w:ascii="Arial" w:hAnsi="Arial" w:cs="Arial"/>
      <w:b/>
      <w:bCs/>
      <w:sz w:val="22"/>
      <w:szCs w:val="22"/>
    </w:rPr>
  </w:style>
  <w:style w:type="paragraph" w:styleId="934">
    <w:name w:val="Body Text Indent 2"/>
    <w:basedOn w:val="696"/>
    <w:link w:val="935"/>
    <w:uiPriority w:val="99"/>
    <w:unhideWhenUsed/>
    <w:pPr>
      <w:ind w:left="283"/>
      <w:spacing w:after="120" w:line="480" w:lineRule="auto"/>
    </w:pPr>
    <w:rPr>
      <w:sz w:val="20"/>
      <w:lang w:val="en-US"/>
    </w:rPr>
  </w:style>
  <w:style w:type="character" w:styleId="935" w:customStyle="1">
    <w:name w:val="Основной текст с отступом 2 Знак"/>
    <w:link w:val="934"/>
    <w:uiPriority w:val="99"/>
    <w:rPr>
      <w:rFonts w:ascii="Times New Roman" w:hAnsi="Times New Roman" w:cs="Times New Roman"/>
      <w:sz w:val="20"/>
      <w:szCs w:val="20"/>
      <w:lang w:val="en-US" w:eastAsia="ru-RU"/>
    </w:rPr>
  </w:style>
  <w:style w:type="paragraph" w:styleId="936">
    <w:name w:val="Body Text 3"/>
    <w:basedOn w:val="696"/>
    <w:link w:val="937"/>
    <w:uiPriority w:val="99"/>
    <w:unhideWhenUsed/>
    <w:pPr>
      <w:jc w:val="both"/>
      <w:spacing w:after="120"/>
    </w:pPr>
    <w:rPr>
      <w:rFonts w:ascii="Calibri" w:hAnsi="Calibri"/>
      <w:sz w:val="16"/>
      <w:szCs w:val="16"/>
      <w:lang w:val="en-US" w:eastAsia="en-US"/>
    </w:rPr>
  </w:style>
  <w:style w:type="character" w:styleId="937" w:customStyle="1">
    <w:name w:val="Основной текст 3 Знак"/>
    <w:link w:val="936"/>
    <w:uiPriority w:val="99"/>
    <w:rPr>
      <w:rFonts w:ascii="Calibri" w:hAnsi="Calibri" w:cs="Times New Roman"/>
      <w:sz w:val="16"/>
      <w:szCs w:val="16"/>
    </w:rPr>
  </w:style>
  <w:style w:type="paragraph" w:styleId="938">
    <w:name w:val="Body Text Indent 3"/>
    <w:basedOn w:val="696"/>
    <w:link w:val="939"/>
    <w:uiPriority w:val="99"/>
    <w:unhideWhenUsed/>
    <w:pPr>
      <w:ind w:left="283"/>
      <w:jc w:val="both"/>
      <w:spacing w:after="120"/>
    </w:pPr>
    <w:rPr>
      <w:rFonts w:ascii="Arial" w:hAnsi="Arial"/>
      <w:sz w:val="16"/>
      <w:szCs w:val="16"/>
      <w:lang w:val="en-US" w:eastAsia="en-US"/>
    </w:rPr>
  </w:style>
  <w:style w:type="character" w:styleId="939" w:customStyle="1">
    <w:name w:val="Основной текст с отступом 3 Знак"/>
    <w:link w:val="938"/>
    <w:uiPriority w:val="99"/>
    <w:rPr>
      <w:rFonts w:ascii="Arial" w:hAnsi="Arial" w:cs="Arial"/>
      <w:sz w:val="16"/>
      <w:szCs w:val="16"/>
    </w:rPr>
  </w:style>
  <w:style w:type="character" w:styleId="940" w:customStyle="1">
    <w:name w:val="Основной текст_"/>
    <w:link w:val="941"/>
    <w:rPr>
      <w:sz w:val="27"/>
      <w:shd w:val="clear" w:color="auto" w:fill="ffffff"/>
    </w:rPr>
  </w:style>
  <w:style w:type="paragraph" w:styleId="941" w:customStyle="1">
    <w:name w:val="Основной текст1"/>
    <w:basedOn w:val="696"/>
    <w:link w:val="940"/>
    <w:pPr>
      <w:jc w:val="center"/>
      <w:spacing w:line="322" w:lineRule="exact"/>
      <w:shd w:val="clear" w:color="auto" w:fill="ffffff"/>
      <w:widowControl w:val="off"/>
    </w:pPr>
    <w:rPr>
      <w:rFonts w:ascii="Calibri" w:hAnsi="Calibri"/>
      <w:sz w:val="27"/>
      <w:lang w:val="en-US" w:eastAsia="en-US"/>
    </w:rPr>
  </w:style>
  <w:style w:type="paragraph" w:styleId="942" w:customStyle="1">
    <w:name w:val="stylet3"/>
    <w:basedOn w:val="696"/>
    <w:pPr>
      <w:spacing w:before="100" w:beforeAutospacing="1" w:after="100" w:afterAutospacing="1"/>
    </w:pPr>
    <w:rPr>
      <w:sz w:val="24"/>
      <w:szCs w:val="24"/>
    </w:rPr>
  </w:style>
  <w:style w:type="character" w:styleId="943" w:customStyle="1">
    <w:name w:val="Normal Знак"/>
    <w:link w:val="944"/>
    <w:rPr>
      <w:rFonts w:cs="Times New Roman"/>
      <w:sz w:val="22"/>
      <w:szCs w:val="22"/>
      <w:lang w:val="ru-RU" w:eastAsia="en-US" w:bidi="ar-SA"/>
    </w:rPr>
  </w:style>
  <w:style w:type="paragraph" w:styleId="944" w:customStyle="1">
    <w:name w:val="Обычный1"/>
    <w:link w:val="943"/>
    <w:rPr>
      <w:rFonts w:cs="Times New Roman"/>
      <w:sz w:val="22"/>
      <w:szCs w:val="22"/>
      <w:lang w:eastAsia="en-US"/>
    </w:rPr>
  </w:style>
  <w:style w:type="character" w:styleId="945">
    <w:name w:val="Strong"/>
    <w:uiPriority w:val="22"/>
    <w:qFormat/>
    <w:rPr>
      <w:rFonts w:cs="Times New Roman"/>
      <w:b/>
    </w:rPr>
  </w:style>
  <w:style w:type="paragraph" w:styleId="946">
    <w:name w:val="Block Text"/>
    <w:basedOn w:val="696"/>
    <w:uiPriority w:val="99"/>
    <w:pPr>
      <w:ind w:left="43" w:right="53" w:firstLine="720"/>
      <w:jc w:val="both"/>
    </w:pPr>
    <w:rPr>
      <w:color w:val="000000"/>
      <w:szCs w:val="25"/>
    </w:rPr>
  </w:style>
  <w:style w:type="paragraph" w:styleId="947" w:customStyle="1">
    <w:name w:val="Body Text Indent 22"/>
    <w:basedOn w:val="696"/>
    <w:pPr>
      <w:ind w:firstLine="567"/>
      <w:jc w:val="both"/>
      <w:widowControl w:val="off"/>
    </w:pPr>
    <w:rPr>
      <w:sz w:val="24"/>
    </w:rPr>
  </w:style>
  <w:style w:type="paragraph" w:styleId="948">
    <w:name w:val="Plain Text"/>
    <w:basedOn w:val="696"/>
    <w:link w:val="949"/>
    <w:uiPriority w:val="99"/>
    <w:rPr>
      <w:rFonts w:ascii="Courier New" w:hAnsi="Courier New"/>
      <w:sz w:val="20"/>
      <w:lang w:val="en-US" w:eastAsia="en-US"/>
    </w:rPr>
  </w:style>
  <w:style w:type="character" w:styleId="949" w:customStyle="1">
    <w:name w:val="Текст Знак"/>
    <w:link w:val="948"/>
    <w:uiPriority w:val="99"/>
    <w:rPr>
      <w:rFonts w:ascii="Courier New" w:hAnsi="Courier New" w:cs="Times New Roman"/>
      <w:sz w:val="20"/>
      <w:szCs w:val="20"/>
      <w:lang w:val="en-US" w:eastAsia="en-US"/>
    </w:rPr>
  </w:style>
  <w:style w:type="paragraph" w:styleId="950" w:customStyle="1">
    <w:name w:val="Default"/>
    <w:rPr>
      <w:rFonts w:ascii="Times New Roman" w:hAnsi="Times New Roman" w:cs="Times New Roman"/>
      <w:color w:val="000000"/>
      <w:sz w:val="24"/>
      <w:szCs w:val="24"/>
    </w:rPr>
  </w:style>
  <w:style w:type="paragraph" w:styleId="951" w:customStyle="1">
    <w:name w:val="Абзац списка;ПАРАГРАФ;Bullet List;FooterText;numbered;Подпись рисунка;Маркированный список_уровень1;Абзац списка3;Абзац списка2;Цветной список - Акцент 11;СПИСОК;Второй абзац списка;Абзац списка11;Абзац списка для докумен;List Paragraph;Абзац списка1"/>
    <w:basedOn w:val="696"/>
    <w:link w:val="957"/>
    <w:uiPriority w:val="34"/>
    <w:qFormat/>
    <w:pPr>
      <w:contextualSpacing/>
      <w:ind w:left="720"/>
    </w:pPr>
    <w:rPr>
      <w:lang w:val="en-US" w:eastAsia="en-US"/>
    </w:rPr>
  </w:style>
  <w:style w:type="paragraph" w:styleId="952">
    <w:name w:val="Body Text"/>
    <w:basedOn w:val="696"/>
    <w:link w:val="953"/>
    <w:uiPriority w:val="99"/>
    <w:pPr>
      <w:spacing w:after="120"/>
    </w:pPr>
    <w:rPr>
      <w:sz w:val="20"/>
      <w:lang w:val="en-US"/>
    </w:rPr>
  </w:style>
  <w:style w:type="character" w:styleId="953" w:customStyle="1">
    <w:name w:val="Основной текст Знак"/>
    <w:link w:val="952"/>
    <w:uiPriority w:val="99"/>
    <w:rPr>
      <w:rFonts w:ascii="Times New Roman" w:hAnsi="Times New Roman" w:cs="Times New Roman"/>
      <w:sz w:val="20"/>
      <w:szCs w:val="20"/>
      <w:lang w:val="en-US" w:eastAsia="ru-RU"/>
    </w:rPr>
  </w:style>
  <w:style w:type="character" w:styleId="954" w:customStyle="1">
    <w:name w:val="apple-converted-space"/>
  </w:style>
  <w:style w:type="paragraph" w:styleId="955" w:customStyle="1">
    <w:name w:val="formattext"/>
    <w:basedOn w:val="696"/>
    <w:pPr>
      <w:spacing w:before="100" w:beforeAutospacing="1" w:after="100" w:afterAutospacing="1"/>
    </w:pPr>
    <w:rPr>
      <w:sz w:val="24"/>
      <w:szCs w:val="24"/>
    </w:rPr>
  </w:style>
  <w:style w:type="character" w:styleId="956" w:customStyle="1">
    <w:name w:val="Заголовок 3 Знак"/>
    <w:link w:val="699"/>
    <w:uiPriority w:val="9"/>
    <w:semiHidden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957" w:customStyle="1">
    <w:name w:val="Абзац списка Знак;ПАРАГРАФ Знак;Bullet List Знак;FooterText Знак;numbered Знак;Подпись рисунка Знак;Маркированный список_уровень1 Знак;Абзац списка3 Знак;Абзац списка2 Знак;Цветной список - Акцент 11 Знак;СПИСОК Знак;Второй абзац списка Знак"/>
    <w:link w:val="951"/>
    <w:uiPriority w:val="34"/>
    <w:qFormat/>
    <w:rPr>
      <w:rFonts w:ascii="Times New Roman" w:hAnsi="Times New Roman" w:cs="Times New Roman"/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ЦБ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Зозуля Марина Николаевна</dc:creator>
  <cp:revision>371</cp:revision>
  <dcterms:created xsi:type="dcterms:W3CDTF">2020-11-19T08:27:00Z</dcterms:created>
  <dcterms:modified xsi:type="dcterms:W3CDTF">2024-09-18T04:27:42Z</dcterms:modified>
  <cp:version>983040</cp:version>
</cp:coreProperties>
</file>